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113" w14:textId="27634028" w:rsidR="00C978FF" w:rsidRPr="0049500B" w:rsidRDefault="00C978FF" w:rsidP="00C978FF">
      <w:pPr>
        <w:pStyle w:val="a3"/>
        <w:tabs>
          <w:tab w:val="right" w:pos="9639"/>
        </w:tabs>
        <w:rPr>
          <w:rFonts w:eastAsiaTheme="minorEastAsia" w:hint="eastAsia"/>
          <w:noProof w:val="0"/>
          <w:sz w:val="24"/>
          <w:szCs w:val="24"/>
          <w:lang w:val="en-GB" w:eastAsia="zh-CN"/>
        </w:rPr>
      </w:pPr>
      <w:r w:rsidRPr="00D44D17">
        <w:rPr>
          <w:rFonts w:eastAsia="MS Mincho"/>
          <w:noProof w:val="0"/>
          <w:sz w:val="24"/>
          <w:szCs w:val="24"/>
          <w:lang w:val="en-GB" w:eastAsia="en-GB"/>
        </w:rPr>
        <w:t>3GPP TSG-RAN WG2 Meeting #129</w:t>
      </w:r>
      <w:r w:rsidRPr="00D44D17">
        <w:rPr>
          <w:rFonts w:eastAsia="MS Mincho"/>
          <w:noProof w:val="0"/>
          <w:sz w:val="24"/>
          <w:szCs w:val="24"/>
          <w:lang w:val="en-GB" w:eastAsia="en-GB"/>
        </w:rPr>
        <w:tab/>
      </w:r>
      <w:r w:rsidR="0049500B" w:rsidRPr="0049500B">
        <w:rPr>
          <w:rFonts w:eastAsia="MS Mincho"/>
          <w:noProof w:val="0"/>
          <w:sz w:val="24"/>
          <w:szCs w:val="24"/>
          <w:lang w:val="en-GB" w:eastAsia="en-GB"/>
        </w:rPr>
        <w:t>R2-250061</w:t>
      </w:r>
      <w:r w:rsidR="0049500B">
        <w:rPr>
          <w:rFonts w:eastAsiaTheme="minorEastAsia" w:hint="eastAsia"/>
          <w:noProof w:val="0"/>
          <w:sz w:val="24"/>
          <w:szCs w:val="24"/>
          <w:lang w:val="en-GB" w:eastAsia="zh-CN"/>
        </w:rPr>
        <w:t>9</w:t>
      </w:r>
    </w:p>
    <w:p w14:paraId="2D2A63AC" w14:textId="3868821A" w:rsidR="00C978FF" w:rsidRPr="00D44D17" w:rsidRDefault="00C978FF" w:rsidP="00C978FF">
      <w:pPr>
        <w:pStyle w:val="a3"/>
        <w:tabs>
          <w:tab w:val="right" w:pos="9639"/>
        </w:tabs>
        <w:jc w:val="both"/>
        <w:rPr>
          <w:rFonts w:eastAsiaTheme="minorEastAsia" w:cs="Arial"/>
          <w:b w:val="0"/>
          <w:bCs/>
          <w:i/>
          <w:iCs/>
          <w:sz w:val="24"/>
          <w:lang w:eastAsia="zh-CN"/>
        </w:rPr>
      </w:pPr>
      <w:r w:rsidRPr="00D44D17">
        <w:rPr>
          <w:rFonts w:eastAsia="MS Mincho"/>
          <w:noProof w:val="0"/>
          <w:sz w:val="24"/>
          <w:szCs w:val="24"/>
          <w:lang w:val="en-GB" w:eastAsia="en-GB"/>
        </w:rPr>
        <w:t>Athens, Greece, Feb. 17th – 21st, 2025</w:t>
      </w:r>
      <w:r>
        <w:rPr>
          <w:rFonts w:eastAsiaTheme="minorEastAsia" w:hint="eastAsia"/>
          <w:noProof w:val="0"/>
          <w:sz w:val="24"/>
          <w:szCs w:val="24"/>
          <w:lang w:val="en-GB" w:eastAsia="zh-CN"/>
        </w:rPr>
        <w:t xml:space="preserve">                       </w:t>
      </w:r>
      <w:r w:rsidRPr="00D44D17">
        <w:rPr>
          <w:rFonts w:eastAsiaTheme="minorEastAsia" w:hint="eastAsia"/>
          <w:b w:val="0"/>
          <w:bCs/>
          <w:i/>
          <w:iCs/>
          <w:noProof w:val="0"/>
          <w:sz w:val="24"/>
          <w:szCs w:val="24"/>
          <w:lang w:val="en-GB" w:eastAsia="zh-CN"/>
        </w:rPr>
        <w:t>Revision of R2-24102</w:t>
      </w:r>
      <w:r>
        <w:rPr>
          <w:rFonts w:eastAsiaTheme="minorEastAsia" w:hint="eastAsia"/>
          <w:b w:val="0"/>
          <w:bCs/>
          <w:i/>
          <w:iCs/>
          <w:noProof w:val="0"/>
          <w:sz w:val="24"/>
          <w:szCs w:val="24"/>
          <w:lang w:val="en-GB" w:eastAsia="zh-CN"/>
        </w:rPr>
        <w:t>71</w:t>
      </w:r>
    </w:p>
    <w:p w14:paraId="1A10DE58" w14:textId="77777777" w:rsidR="00186BCD" w:rsidRPr="00C978FF"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FDEC5D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9941AB">
        <w:rPr>
          <w:rFonts w:eastAsia="宋体" w:cs="Arial"/>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D99191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941AB" w:rsidRPr="009941AB">
        <w:rPr>
          <w:rFonts w:ascii="Arial" w:hAnsi="Arial" w:cs="Arial"/>
          <w:b/>
          <w:bCs/>
          <w:sz w:val="24"/>
        </w:rPr>
        <w:t>EDT for uplink capacity enhancement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A28AAEC" w14:textId="2D75CC2E" w:rsidR="00C978FF" w:rsidRDefault="00B24530" w:rsidP="00870C96">
      <w:pPr>
        <w:spacing w:beforeLines="50" w:before="156" w:afterLines="50" w:after="156"/>
        <w:rPr>
          <w:rFonts w:ascii="Times New Roman" w:hAnsi="Times New Roman"/>
          <w:sz w:val="22"/>
        </w:rPr>
      </w:pPr>
      <w:r>
        <w:rPr>
          <w:rFonts w:ascii="Times New Roman" w:hAnsi="Times New Roman"/>
          <w:sz w:val="22"/>
        </w:rPr>
        <w:t>The latest RAN2</w:t>
      </w:r>
      <w:r w:rsidR="00F11C93">
        <w:rPr>
          <w:rFonts w:ascii="Times New Roman" w:hAnsi="Times New Roman" w:hint="eastAsia"/>
          <w:sz w:val="22"/>
        </w:rPr>
        <w:t>#12</w:t>
      </w:r>
      <w:r w:rsidR="00BE695E">
        <w:rPr>
          <w:rFonts w:ascii="Times New Roman" w:hAnsi="Times New Roman" w:hint="eastAsia"/>
          <w:sz w:val="22"/>
        </w:rPr>
        <w:t>8</w:t>
      </w:r>
      <w:r>
        <w:rPr>
          <w:rFonts w:ascii="Times New Roman" w:hAnsi="Times New Roman"/>
          <w:sz w:val="22"/>
        </w:rPr>
        <w:t xml:space="preserve"> meeting made the following agreement regarding</w:t>
      </w:r>
      <w:r w:rsidR="001C059F" w:rsidRPr="001C059F">
        <w:rPr>
          <w:rFonts w:ascii="Times New Roman" w:hAnsi="Times New Roman"/>
          <w:sz w:val="22"/>
        </w:rPr>
        <w:t xml:space="preserve"> </w:t>
      </w:r>
      <w:r w:rsidRPr="00B24530">
        <w:rPr>
          <w:rFonts w:ascii="Times New Roman" w:hAnsi="Times New Roman"/>
          <w:sz w:val="22"/>
        </w:rPr>
        <w:t>uplink capacity enhancements</w:t>
      </w:r>
      <w:r>
        <w:rPr>
          <w:rFonts w:ascii="Times New Roman" w:hAnsi="Times New Roman"/>
          <w:sz w:val="22"/>
        </w:rPr>
        <w:t xml:space="preserve"> in</w:t>
      </w:r>
      <w:r w:rsidR="001C059F" w:rsidRPr="001C059F">
        <w:rPr>
          <w:rFonts w:ascii="Times New Roman" w:hAnsi="Times New Roman"/>
          <w:sz w:val="22"/>
        </w:rPr>
        <w:t xml:space="preserve"> Rel-19 IoT NTN:</w:t>
      </w:r>
    </w:p>
    <w:tbl>
      <w:tblPr>
        <w:tblStyle w:val="af1"/>
        <w:tblW w:w="0" w:type="auto"/>
        <w:tblLook w:val="04A0" w:firstRow="1" w:lastRow="0" w:firstColumn="1" w:lastColumn="0" w:noHBand="0" w:noVBand="1"/>
      </w:tblPr>
      <w:tblGrid>
        <w:gridCol w:w="9629"/>
      </w:tblGrid>
      <w:tr w:rsidR="00C978FF" w14:paraId="19A0B26C" w14:textId="77777777" w:rsidTr="00C978FF">
        <w:tc>
          <w:tcPr>
            <w:tcW w:w="9629" w:type="dxa"/>
          </w:tcPr>
          <w:p w14:paraId="417884AF" w14:textId="0C41C764" w:rsidR="00C978FF" w:rsidRPr="00C978FF" w:rsidRDefault="00C978FF" w:rsidP="00C978FF">
            <w:pPr>
              <w:rPr>
                <w:rFonts w:ascii="Times New Roman" w:hAnsi="Times New Roman"/>
                <w:sz w:val="22"/>
              </w:rPr>
            </w:pPr>
            <w:r>
              <w:rPr>
                <w:rFonts w:ascii="Times New Roman" w:hAnsi="Times New Roman"/>
                <w:sz w:val="22"/>
              </w:rPr>
              <w:t>RAN2</w:t>
            </w:r>
            <w:r>
              <w:rPr>
                <w:rFonts w:ascii="Times New Roman" w:hAnsi="Times New Roman" w:hint="eastAsia"/>
                <w:sz w:val="22"/>
              </w:rPr>
              <w:t>#128 a</w:t>
            </w:r>
            <w:r w:rsidRPr="00C978FF">
              <w:rPr>
                <w:rFonts w:ascii="Times New Roman" w:hAnsi="Times New Roman"/>
                <w:sz w:val="22"/>
              </w:rPr>
              <w:t>greements:</w:t>
            </w:r>
          </w:p>
          <w:p w14:paraId="478705FD" w14:textId="642160D5" w:rsidR="00C978FF" w:rsidRPr="00C978FF" w:rsidRDefault="00C978FF" w:rsidP="002A5958">
            <w:pPr>
              <w:pStyle w:val="a6"/>
              <w:numPr>
                <w:ilvl w:val="0"/>
                <w:numId w:val="49"/>
              </w:numPr>
              <w:spacing w:after="0"/>
              <w:ind w:left="442" w:firstLineChars="0" w:hanging="442"/>
              <w:rPr>
                <w:sz w:val="22"/>
              </w:rPr>
            </w:pPr>
            <w:r w:rsidRPr="00C978FF">
              <w:rPr>
                <w:sz w:val="22"/>
              </w:rPr>
              <w:t>Only system Information is used to provide cell-specific CB-Msg3 PUSCH resources (FFS if anything is needed in dedicated signalling for the TA validation parameters, if needed, for the case of 15kHz SCS NB-IoT and eMTC CE mode B)</w:t>
            </w:r>
          </w:p>
          <w:p w14:paraId="21FDA1A4" w14:textId="6F8CAAFC" w:rsidR="00C978FF" w:rsidRPr="00C978FF" w:rsidRDefault="00C978FF" w:rsidP="002A5958">
            <w:pPr>
              <w:pStyle w:val="a6"/>
              <w:numPr>
                <w:ilvl w:val="0"/>
                <w:numId w:val="49"/>
              </w:numPr>
              <w:spacing w:after="0"/>
              <w:ind w:left="442" w:firstLineChars="0" w:hanging="442"/>
              <w:rPr>
                <w:sz w:val="22"/>
              </w:rPr>
            </w:pPr>
            <w:r w:rsidRPr="00C978FF">
              <w:rPr>
                <w:sz w:val="22"/>
              </w:rPr>
              <w:t>Reuse the existing CE level selection procedure for CB-Msg3, at least for the initial selection. FFS whether we can reuse the same thresholds. FFS on the number of levels</w:t>
            </w:r>
          </w:p>
          <w:p w14:paraId="1A2EC52E" w14:textId="02887D10" w:rsidR="00C978FF" w:rsidRPr="00C978FF" w:rsidRDefault="00C978FF" w:rsidP="002A5958">
            <w:pPr>
              <w:pStyle w:val="a6"/>
              <w:numPr>
                <w:ilvl w:val="0"/>
                <w:numId w:val="49"/>
              </w:numPr>
              <w:spacing w:after="0"/>
              <w:ind w:left="442" w:firstLineChars="0" w:hanging="442"/>
              <w:rPr>
                <w:sz w:val="22"/>
              </w:rPr>
            </w:pPr>
            <w:r w:rsidRPr="00C978FF">
              <w:rPr>
                <w:sz w:val="22"/>
              </w:rPr>
              <w:t>The UE triggers CB-Msg3 only if the size of pending UL data is less than the configured maximum TBS (FFS if the maximum TBS is same or different for different CE levels)</w:t>
            </w:r>
          </w:p>
          <w:p w14:paraId="0F4F3CD2" w14:textId="384801B9" w:rsidR="00C978FF" w:rsidRPr="00C978FF" w:rsidRDefault="00C978FF" w:rsidP="002A5958">
            <w:pPr>
              <w:pStyle w:val="a6"/>
              <w:numPr>
                <w:ilvl w:val="0"/>
                <w:numId w:val="49"/>
              </w:numPr>
              <w:spacing w:after="0"/>
              <w:ind w:left="442" w:firstLineChars="0" w:hanging="442"/>
              <w:rPr>
                <w:sz w:val="22"/>
              </w:rPr>
            </w:pPr>
            <w:r w:rsidRPr="00C978FF">
              <w:rPr>
                <w:sz w:val="22"/>
              </w:rPr>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6DDD0639" w14:textId="3D76F225" w:rsidR="00C978FF" w:rsidRPr="00C978FF" w:rsidRDefault="00C978FF" w:rsidP="002A5958">
            <w:pPr>
              <w:pStyle w:val="a6"/>
              <w:numPr>
                <w:ilvl w:val="0"/>
                <w:numId w:val="49"/>
              </w:numPr>
              <w:spacing w:after="0"/>
              <w:ind w:left="442" w:firstLineChars="0" w:hanging="442"/>
              <w:rPr>
                <w:sz w:val="22"/>
              </w:rPr>
            </w:pPr>
            <w:r w:rsidRPr="00C978FF">
              <w:rPr>
                <w:sz w:val="22"/>
              </w:rPr>
              <w:t>The number of replicas for DSA will be configured by the NW: 1 (SA), 2, 3, 4. The configuration of the number of replicas is CE-level specific</w:t>
            </w:r>
          </w:p>
          <w:p w14:paraId="5344B2EA" w14:textId="17344A6A" w:rsidR="00C978FF" w:rsidRPr="00C978FF" w:rsidRDefault="00C978FF" w:rsidP="002A5958">
            <w:pPr>
              <w:pStyle w:val="a6"/>
              <w:numPr>
                <w:ilvl w:val="0"/>
                <w:numId w:val="49"/>
              </w:numPr>
              <w:spacing w:after="0"/>
              <w:ind w:left="442" w:firstLineChars="0" w:hanging="442"/>
              <w:rPr>
                <w:sz w:val="22"/>
              </w:rPr>
            </w:pPr>
            <w:r w:rsidRPr="00C978FF">
              <w:rPr>
                <w:sz w:val="22"/>
              </w:rPr>
              <w:t>There will be a configurable time window for DSA CB-Msg3 occasion selection. FFS on the details (e.g. when the time window starts)</w:t>
            </w:r>
          </w:p>
          <w:p w14:paraId="0D909EBE" w14:textId="4C17773C" w:rsidR="00C978FF" w:rsidRPr="00C978FF" w:rsidRDefault="00C978FF" w:rsidP="002A5958">
            <w:pPr>
              <w:pStyle w:val="a6"/>
              <w:numPr>
                <w:ilvl w:val="0"/>
                <w:numId w:val="49"/>
              </w:numPr>
              <w:spacing w:after="0"/>
              <w:ind w:left="442" w:firstLineChars="0" w:hanging="442"/>
              <w:rPr>
                <w:sz w:val="22"/>
              </w:rPr>
            </w:pPr>
            <w:r w:rsidRPr="00C978FF">
              <w:rPr>
                <w:sz w:val="22"/>
              </w:rPr>
              <w:t>For SA case (single replica), after the end of all repetition of CB-Msg3 PUSCH transmission, UE starts a window for response reception taking UE-eNB RTT into account. FFS if we need to consider additional delay e.g. for the processing time</w:t>
            </w:r>
          </w:p>
          <w:p w14:paraId="00268970" w14:textId="3B461183" w:rsidR="00C978FF" w:rsidRPr="00C978FF" w:rsidRDefault="00C978FF" w:rsidP="002A5958">
            <w:pPr>
              <w:pStyle w:val="a6"/>
              <w:numPr>
                <w:ilvl w:val="0"/>
                <w:numId w:val="49"/>
              </w:numPr>
              <w:spacing w:after="0"/>
              <w:ind w:left="442" w:firstLineChars="0" w:hanging="442"/>
              <w:rPr>
                <w:sz w:val="22"/>
              </w:rPr>
            </w:pPr>
            <w:r w:rsidRPr="00C978FF">
              <w:rPr>
                <w:sz w:val="22"/>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617339D2" w14:textId="0A1AAAD5" w:rsidR="00C978FF" w:rsidRPr="00C978FF" w:rsidRDefault="00C978FF" w:rsidP="002A5958">
            <w:pPr>
              <w:pStyle w:val="a6"/>
              <w:numPr>
                <w:ilvl w:val="0"/>
                <w:numId w:val="49"/>
              </w:numPr>
              <w:spacing w:after="0"/>
              <w:ind w:left="442" w:firstLineChars="0" w:hanging="442"/>
              <w:rPr>
                <w:sz w:val="22"/>
              </w:rPr>
            </w:pPr>
            <w:r w:rsidRPr="00C978FF">
              <w:rPr>
                <w:sz w:val="22"/>
              </w:rPr>
              <w:t>The UE stops the PDCCH monitoring window(s) once it receives a CB-msg4 containing a matching Contention Resolution Identity (FFS if there is no RRC message together with the CB-msg4)</w:t>
            </w:r>
          </w:p>
          <w:p w14:paraId="1C7E069C" w14:textId="3C18517F" w:rsidR="00C978FF" w:rsidRPr="00C978FF" w:rsidRDefault="00C978FF" w:rsidP="002A5958">
            <w:pPr>
              <w:pStyle w:val="a6"/>
              <w:numPr>
                <w:ilvl w:val="0"/>
                <w:numId w:val="49"/>
              </w:numPr>
              <w:spacing w:after="0"/>
              <w:ind w:left="442" w:firstLineChars="0" w:hanging="442"/>
              <w:rPr>
                <w:sz w:val="22"/>
              </w:rPr>
            </w:pPr>
            <w:r w:rsidRPr="00C978FF">
              <w:rPr>
                <w:sz w:val="22"/>
              </w:rP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29D03DF4" w14:textId="0BFB3DBF" w:rsidR="00C978FF" w:rsidRPr="00C978FF" w:rsidRDefault="00C978FF" w:rsidP="002A5958">
            <w:pPr>
              <w:pStyle w:val="a6"/>
              <w:numPr>
                <w:ilvl w:val="0"/>
                <w:numId w:val="49"/>
              </w:numPr>
              <w:spacing w:after="0"/>
              <w:ind w:left="442" w:firstLineChars="0" w:hanging="442"/>
              <w:rPr>
                <w:sz w:val="22"/>
              </w:rPr>
            </w:pPr>
            <w:r w:rsidRPr="00C978FF">
              <w:rPr>
                <w:sz w:val="22"/>
              </w:rPr>
              <w:t>Within the configured time window, the UE shall select randomly different time domain occasions for transmitting different replicas. And for each time domain occasion, the UE shall select randomly a frequency domain resource.</w:t>
            </w:r>
          </w:p>
          <w:p w14:paraId="63219010" w14:textId="407C7C3D" w:rsidR="00C978FF" w:rsidRPr="00C978FF" w:rsidRDefault="00C978FF" w:rsidP="002A5958">
            <w:pPr>
              <w:pStyle w:val="a6"/>
              <w:numPr>
                <w:ilvl w:val="0"/>
                <w:numId w:val="49"/>
              </w:numPr>
              <w:spacing w:after="0"/>
              <w:ind w:left="442" w:firstLineChars="0" w:hanging="442"/>
              <w:rPr>
                <w:sz w:val="22"/>
              </w:rPr>
            </w:pPr>
            <w:r w:rsidRPr="00C978FF">
              <w:rPr>
                <w:sz w:val="22"/>
              </w:rPr>
              <w:lastRenderedPageBreak/>
              <w:t>RAN2 understands that, for DSA, once the eNB successfully decodes one of the multiple replicas, it may respond without waiting for the remaining replica(s) (FFS when the response window(s) is/are started)</w:t>
            </w:r>
          </w:p>
        </w:tc>
      </w:tr>
    </w:tbl>
    <w:p w14:paraId="335C3B46" w14:textId="685B42B6" w:rsidR="00F533B4" w:rsidRDefault="009B4F09" w:rsidP="00870C96">
      <w:pPr>
        <w:spacing w:beforeLines="50" w:before="156" w:afterLines="50" w:after="156"/>
        <w:rPr>
          <w:rFonts w:ascii="Times New Roman" w:hAnsi="Times New Roman"/>
          <w:sz w:val="22"/>
        </w:rPr>
      </w:pPr>
      <w:r w:rsidRPr="00671CC7">
        <w:rPr>
          <w:rFonts w:ascii="Times New Roman" w:hAnsi="Times New Roman" w:hint="eastAsia"/>
          <w:sz w:val="22"/>
        </w:rPr>
        <w:lastRenderedPageBreak/>
        <w:t>I</w:t>
      </w:r>
      <w:r w:rsidRPr="00671CC7">
        <w:rPr>
          <w:rFonts w:ascii="Times New Roman" w:hAnsi="Times New Roman"/>
          <w:sz w:val="22"/>
        </w:rPr>
        <w:t xml:space="preserve">n this contribution we </w:t>
      </w:r>
      <w:r w:rsidR="001E042A">
        <w:rPr>
          <w:rFonts w:ascii="Times New Roman" w:hAnsi="Times New Roman"/>
          <w:sz w:val="22"/>
        </w:rPr>
        <w:t xml:space="preserve">discuss the </w:t>
      </w:r>
      <w:r w:rsidR="00BE695E">
        <w:rPr>
          <w:rFonts w:ascii="Times New Roman" w:hAnsi="Times New Roman" w:hint="eastAsia"/>
          <w:sz w:val="22"/>
        </w:rPr>
        <w:t>further</w:t>
      </w:r>
      <w:r w:rsidR="00A63B7B">
        <w:rPr>
          <w:rFonts w:ascii="Times New Roman" w:hAnsi="Times New Roman"/>
          <w:sz w:val="22"/>
        </w:rPr>
        <w:t xml:space="preserve"> issues</w:t>
      </w:r>
      <w:r w:rsidR="00D54A2D">
        <w:rPr>
          <w:rFonts w:ascii="Times New Roman" w:hAnsi="Times New Roman"/>
          <w:sz w:val="22"/>
        </w:rPr>
        <w:t xml:space="preserve"> and solutions</w:t>
      </w:r>
      <w:r w:rsidR="00A63B7B">
        <w:rPr>
          <w:rFonts w:ascii="Times New Roman" w:hAnsi="Times New Roman"/>
          <w:sz w:val="22"/>
        </w:rPr>
        <w:t xml:space="preserve"> </w:t>
      </w:r>
      <w:r w:rsidR="00D54A2D">
        <w:rPr>
          <w:rFonts w:ascii="Times New Roman" w:hAnsi="Times New Roman"/>
          <w:sz w:val="22"/>
        </w:rPr>
        <w:t xml:space="preserve">for EDT enhancements in </w:t>
      </w:r>
      <w:r w:rsidR="00A63B7B">
        <w:rPr>
          <w:rFonts w:ascii="Times New Roman" w:hAnsi="Times New Roman"/>
          <w:sz w:val="22"/>
        </w:rPr>
        <w:t>IoT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CF1767C" w14:textId="62AE9E3D" w:rsidR="005E5E58" w:rsidRPr="005E5E58" w:rsidRDefault="00313811" w:rsidP="00870C96">
      <w:pPr>
        <w:spacing w:beforeLines="50" w:before="156" w:afterLines="50" w:after="156"/>
        <w:rPr>
          <w:rFonts w:ascii="Times New Roman" w:hAnsi="Times New Roman"/>
          <w:sz w:val="22"/>
        </w:rPr>
      </w:pPr>
      <w:r>
        <w:rPr>
          <w:rFonts w:ascii="Times New Roman" w:eastAsiaTheme="minorEastAsia" w:hAnsi="Times New Roman" w:hint="eastAsia"/>
          <w:sz w:val="22"/>
        </w:rPr>
        <w:t>C</w:t>
      </w:r>
      <w:r w:rsidR="005E5E58" w:rsidRPr="005E5E58">
        <w:rPr>
          <w:rFonts w:ascii="Times New Roman" w:eastAsiaTheme="minorEastAsia" w:hAnsi="Times New Roman"/>
          <w:sz w:val="22"/>
        </w:rPr>
        <w:t>onsidering the need of supporting massive capacity in terms of number and types of UE, there is a need to identify methods to reduce the necessary uplink and downlink signaling.</w:t>
      </w:r>
      <w:r w:rsidR="005E5E58">
        <w:rPr>
          <w:rFonts w:ascii="Times New Roman" w:eastAsiaTheme="minorEastAsia" w:hAnsi="Times New Roman"/>
          <w:sz w:val="22"/>
        </w:rPr>
        <w:t xml:space="preserve"> From this perspective there are two directions that are to be studied: </w:t>
      </w:r>
      <w:r w:rsidR="005E5E58" w:rsidRPr="005E5E58">
        <w:rPr>
          <w:rFonts w:ascii="Times New Roman" w:eastAsiaTheme="minorEastAsia" w:hAnsi="Times New Roman"/>
          <w:sz w:val="22"/>
        </w:rPr>
        <w:t xml:space="preserve">Msg3 transmission without </w:t>
      </w:r>
      <w:r w:rsidR="005E5E58">
        <w:rPr>
          <w:rFonts w:ascii="Times New Roman" w:eastAsiaTheme="minorEastAsia" w:hAnsi="Times New Roman"/>
          <w:sz w:val="22"/>
        </w:rPr>
        <w:t xml:space="preserve">Msg1/2 and </w:t>
      </w:r>
      <w:r w:rsidR="005E5E58" w:rsidRPr="005E5E58">
        <w:rPr>
          <w:rFonts w:ascii="Times New Roman" w:eastAsiaTheme="minorEastAsia" w:hAnsi="Times New Roman"/>
          <w:sz w:val="22"/>
        </w:rPr>
        <w:t>reduced overhead</w:t>
      </w:r>
      <w:r w:rsidR="005E5E58">
        <w:rPr>
          <w:rFonts w:ascii="Times New Roman" w:eastAsiaTheme="minorEastAsia" w:hAnsi="Times New Roman"/>
          <w:sz w:val="22"/>
        </w:rPr>
        <w:t xml:space="preserve"> reduction</w:t>
      </w:r>
      <w:r w:rsidR="005E5E58" w:rsidRPr="005E5E58">
        <w:rPr>
          <w:rFonts w:ascii="Times New Roman" w:eastAsiaTheme="minorEastAsia" w:hAnsi="Times New Roman"/>
          <w:sz w:val="22"/>
        </w:rPr>
        <w:t xml:space="preserve"> </w:t>
      </w:r>
      <w:r w:rsidR="005E5E58">
        <w:rPr>
          <w:rFonts w:ascii="Times New Roman" w:eastAsiaTheme="minorEastAsia" w:hAnsi="Times New Roman"/>
          <w:sz w:val="22"/>
        </w:rPr>
        <w:t>for Msg4 delivery.</w:t>
      </w:r>
    </w:p>
    <w:p w14:paraId="348815D5" w14:textId="5578763E" w:rsidR="005E5E58" w:rsidRPr="002F6C9D" w:rsidRDefault="002F6C9D" w:rsidP="002F6C9D">
      <w:pPr>
        <w:spacing w:beforeLines="50" w:before="156" w:afterLines="50" w:after="156"/>
        <w:outlineLvl w:val="1"/>
        <w:rPr>
          <w:rFonts w:ascii="Times New Roman" w:hAnsi="Times New Roman"/>
          <w:b/>
          <w:bCs/>
          <w:sz w:val="22"/>
          <w:u w:val="single"/>
        </w:rPr>
      </w:pPr>
      <w:r w:rsidRPr="002F6C9D">
        <w:rPr>
          <w:rFonts w:ascii="Times New Roman" w:hAnsi="Times New Roman" w:hint="eastAsia"/>
          <w:b/>
          <w:bCs/>
          <w:sz w:val="22"/>
          <w:u w:val="single"/>
        </w:rPr>
        <w:t>M</w:t>
      </w:r>
      <w:r w:rsidRPr="002F6C9D">
        <w:rPr>
          <w:rFonts w:ascii="Times New Roman" w:hAnsi="Times New Roman"/>
          <w:b/>
          <w:bCs/>
          <w:sz w:val="22"/>
          <w:u w:val="single"/>
        </w:rPr>
        <w:t>sg3 transmission without Msg1/2 for EDT</w:t>
      </w:r>
    </w:p>
    <w:p w14:paraId="71F8F19A" w14:textId="146458F4" w:rsidR="00A76BEF" w:rsidRDefault="00A76BEF" w:rsidP="00870C96">
      <w:pPr>
        <w:spacing w:beforeLines="50" w:before="156" w:afterLines="50" w:after="156"/>
        <w:rPr>
          <w:rFonts w:ascii="Times New Roman" w:hAnsi="Times New Roman"/>
          <w:sz w:val="22"/>
        </w:rPr>
      </w:pPr>
      <w:r w:rsidRPr="00873EEF">
        <w:rPr>
          <w:rFonts w:ascii="Times New Roman" w:hAnsi="Times New Roman"/>
          <w:sz w:val="22"/>
        </w:rPr>
        <w:t>In legacy EDT, the UE relies on transmission of EDT-dedicated preamble to request for EDT, and eNB can identify a request for EDT based on that an EDT-dedicated preamble is used. If Msg1(preamble) transmission is omitted for EDT, new scheme</w:t>
      </w:r>
      <w:r>
        <w:rPr>
          <w:rFonts w:ascii="Times New Roman" w:hAnsi="Times New Roman"/>
          <w:sz w:val="22"/>
        </w:rPr>
        <w:t>s are</w:t>
      </w:r>
      <w:r w:rsidRPr="00873EEF">
        <w:rPr>
          <w:rFonts w:ascii="Times New Roman" w:hAnsi="Times New Roman"/>
          <w:sz w:val="22"/>
        </w:rPr>
        <w:t xml:space="preserve"> needed for UE to request for EDT operation and for eNB to identify a request for EDT operation.</w:t>
      </w:r>
      <w:r>
        <w:rPr>
          <w:rFonts w:ascii="Times New Roman" w:hAnsi="Times New Roman" w:hint="eastAsia"/>
          <w:sz w:val="22"/>
        </w:rPr>
        <w:t xml:space="preserve"> </w:t>
      </w:r>
      <w:r>
        <w:rPr>
          <w:rFonts w:ascii="Times New Roman" w:hAnsi="Times New Roman"/>
          <w:sz w:val="22"/>
        </w:rPr>
        <w:t xml:space="preserve">A following issue is that, </w:t>
      </w:r>
      <w:r w:rsidRPr="00873EEF">
        <w:rPr>
          <w:rFonts w:ascii="Times New Roman" w:hAnsi="Times New Roman"/>
          <w:sz w:val="22"/>
        </w:rPr>
        <w:t xml:space="preserve">the UE relies on reception of Msg2(RAR) to acquire the UL resource for the followed Msg3 transmission </w:t>
      </w:r>
      <w:r>
        <w:rPr>
          <w:rFonts w:ascii="Times New Roman" w:hAnsi="Times New Roman"/>
          <w:sz w:val="22"/>
        </w:rPr>
        <w:t xml:space="preserve">in legacy EDT operation, as </w:t>
      </w:r>
      <w:r w:rsidRPr="00873EEF">
        <w:rPr>
          <w:rFonts w:ascii="Times New Roman" w:hAnsi="Times New Roman"/>
          <w:sz w:val="22"/>
        </w:rPr>
        <w:t xml:space="preserve">there is no resource pre-configuration for the UE. If Msg2(RAR) </w:t>
      </w:r>
      <w:r>
        <w:rPr>
          <w:rFonts w:ascii="Times New Roman" w:hAnsi="Times New Roman"/>
          <w:sz w:val="22"/>
        </w:rPr>
        <w:t xml:space="preserve">reception </w:t>
      </w:r>
      <w:r w:rsidRPr="00873EEF">
        <w:rPr>
          <w:rFonts w:ascii="Times New Roman" w:hAnsi="Times New Roman"/>
          <w:sz w:val="22"/>
        </w:rPr>
        <w:t xml:space="preserve">is omitted for EDT, how to configure UE with the corresponding resource for Msg3 transmission needs to be </w:t>
      </w:r>
      <w:r>
        <w:rPr>
          <w:rFonts w:ascii="Times New Roman" w:hAnsi="Times New Roman"/>
          <w:sz w:val="22"/>
        </w:rPr>
        <w:t>resolved</w:t>
      </w:r>
      <w:r w:rsidRPr="00873EEF">
        <w:rPr>
          <w:rFonts w:ascii="Times New Roman" w:hAnsi="Times New Roman"/>
          <w:sz w:val="22"/>
        </w:rPr>
        <w:t>.</w:t>
      </w:r>
    </w:p>
    <w:p w14:paraId="1190CD50" w14:textId="624B7ACD" w:rsidR="00AC3487" w:rsidRDefault="005D3E0C" w:rsidP="009977B9">
      <w:pPr>
        <w:spacing w:beforeLines="50" w:before="156" w:afterLines="50" w:after="156"/>
        <w:rPr>
          <w:rFonts w:ascii="Times New Roman" w:hAnsi="Times New Roman"/>
          <w:sz w:val="22"/>
        </w:rPr>
      </w:pPr>
      <w:r w:rsidRPr="005D3E0C">
        <w:rPr>
          <w:rFonts w:ascii="Times New Roman" w:hAnsi="Times New Roman"/>
          <w:sz w:val="22"/>
          <w:lang w:val="en-GB"/>
        </w:rPr>
        <w:t>For Rel-19 IoT NTN aiming to achieve Msg3 transmission without Msg1(preamble)/Msg2(RAR)</w:t>
      </w:r>
      <w:r>
        <w:rPr>
          <w:rFonts w:ascii="Times New Roman" w:hAnsi="Times New Roman"/>
          <w:sz w:val="22"/>
          <w:lang w:val="en-GB"/>
        </w:rPr>
        <w:t>,</w:t>
      </w:r>
      <w:r w:rsidR="009977B9">
        <w:rPr>
          <w:rFonts w:ascii="Times New Roman" w:hAnsi="Times New Roman" w:hint="eastAsia"/>
          <w:sz w:val="22"/>
        </w:rPr>
        <w:t xml:space="preserve"> </w:t>
      </w:r>
      <w:r w:rsidR="00CC3309">
        <w:rPr>
          <w:rFonts w:ascii="Times New Roman" w:hAnsi="Times New Roman" w:hint="eastAsia"/>
          <w:sz w:val="22"/>
        </w:rPr>
        <w:t>RAN2#</w:t>
      </w:r>
      <w:r w:rsidR="009977B9">
        <w:rPr>
          <w:rFonts w:ascii="Times New Roman" w:hAnsi="Times New Roman" w:hint="eastAsia"/>
          <w:sz w:val="22"/>
        </w:rPr>
        <w:t>127bis and RAN2#</w:t>
      </w:r>
      <w:r w:rsidR="00CC3309">
        <w:rPr>
          <w:rFonts w:ascii="Times New Roman" w:hAnsi="Times New Roman" w:hint="eastAsia"/>
          <w:sz w:val="22"/>
        </w:rPr>
        <w:t>12</w:t>
      </w:r>
      <w:r w:rsidR="009977B9">
        <w:rPr>
          <w:rFonts w:ascii="Times New Roman" w:hAnsi="Times New Roman" w:hint="eastAsia"/>
          <w:sz w:val="22"/>
        </w:rPr>
        <w:t>8</w:t>
      </w:r>
      <w:r w:rsidR="00CC3309">
        <w:rPr>
          <w:rFonts w:ascii="Times New Roman" w:hAnsi="Times New Roman" w:hint="eastAsia"/>
          <w:sz w:val="22"/>
        </w:rPr>
        <w:t xml:space="preserve"> meeting</w:t>
      </w:r>
      <w:r w:rsidR="009977B9">
        <w:rPr>
          <w:rFonts w:ascii="Times New Roman" w:hAnsi="Times New Roman" w:hint="eastAsia"/>
          <w:sz w:val="22"/>
        </w:rPr>
        <w:t>s</w:t>
      </w:r>
      <w:r w:rsidR="00CC3309">
        <w:rPr>
          <w:rFonts w:ascii="Times New Roman" w:hAnsi="Times New Roman" w:hint="eastAsia"/>
          <w:sz w:val="22"/>
        </w:rPr>
        <w:t xml:space="preserve"> agreed that </w:t>
      </w:r>
      <w:r w:rsidR="009977B9" w:rsidRPr="009977B9">
        <w:rPr>
          <w:rFonts w:ascii="Times New Roman" w:hAnsi="Times New Roman"/>
          <w:sz w:val="22"/>
        </w:rPr>
        <w:t xml:space="preserve">system </w:t>
      </w:r>
      <w:r w:rsidR="009977B9">
        <w:rPr>
          <w:rFonts w:ascii="Times New Roman" w:hAnsi="Times New Roman" w:hint="eastAsia"/>
          <w:sz w:val="22"/>
        </w:rPr>
        <w:t>i</w:t>
      </w:r>
      <w:r w:rsidR="009977B9" w:rsidRPr="009977B9">
        <w:rPr>
          <w:rFonts w:ascii="Times New Roman" w:hAnsi="Times New Roman"/>
          <w:sz w:val="22"/>
        </w:rPr>
        <w:t>nformation is used to provide cell-specific CB-Msg3 PUSCH resources</w:t>
      </w:r>
      <w:r w:rsidR="009977B9">
        <w:rPr>
          <w:rFonts w:ascii="Times New Roman" w:hAnsi="Times New Roman" w:hint="eastAsia"/>
          <w:sz w:val="22"/>
        </w:rPr>
        <w:t xml:space="preserve"> </w:t>
      </w:r>
      <w:r w:rsidR="00CC3309" w:rsidRPr="00CC3309">
        <w:rPr>
          <w:rFonts w:ascii="Times New Roman" w:hAnsi="Times New Roman"/>
          <w:sz w:val="22"/>
        </w:rPr>
        <w:t>per CE level</w:t>
      </w:r>
      <w:r w:rsidR="00143B4F">
        <w:rPr>
          <w:rFonts w:ascii="Times New Roman" w:hAnsi="Times New Roman" w:hint="eastAsia"/>
          <w:sz w:val="22"/>
        </w:rPr>
        <w:t>, while some further details are still FFS.</w:t>
      </w:r>
    </w:p>
    <w:p w14:paraId="6438EA19" w14:textId="6D97870B" w:rsidR="00A76BEF" w:rsidRDefault="00B70B9A" w:rsidP="009977B9">
      <w:pPr>
        <w:spacing w:beforeLines="50" w:before="156" w:afterLines="50" w:after="156"/>
        <w:rPr>
          <w:rFonts w:ascii="Times New Roman" w:hAnsi="Times New Roman"/>
          <w:sz w:val="22"/>
        </w:rPr>
      </w:pPr>
      <w:r>
        <w:rPr>
          <w:rFonts w:ascii="Times New Roman" w:hAnsi="Times New Roman" w:hint="eastAsia"/>
          <w:sz w:val="22"/>
        </w:rPr>
        <w:t xml:space="preserve">As </w:t>
      </w:r>
      <w:r w:rsidRPr="00B70B9A">
        <w:rPr>
          <w:rFonts w:ascii="Times New Roman" w:hAnsi="Times New Roman"/>
          <w:sz w:val="22"/>
        </w:rPr>
        <w:t xml:space="preserve">the existing CE level selection procedure </w:t>
      </w:r>
      <w:r>
        <w:rPr>
          <w:rFonts w:ascii="Times New Roman" w:hAnsi="Times New Roman" w:hint="eastAsia"/>
          <w:sz w:val="22"/>
        </w:rPr>
        <w:t xml:space="preserve">was agreed to be used </w:t>
      </w:r>
      <w:r w:rsidRPr="00B70B9A">
        <w:rPr>
          <w:rFonts w:ascii="Times New Roman" w:hAnsi="Times New Roman"/>
          <w:sz w:val="22"/>
        </w:rPr>
        <w:t>for CB-Msg3</w:t>
      </w:r>
      <w:r>
        <w:rPr>
          <w:rFonts w:ascii="Times New Roman" w:hAnsi="Times New Roman" w:hint="eastAsia"/>
          <w:sz w:val="22"/>
        </w:rPr>
        <w:t>, the</w:t>
      </w:r>
      <w:r w:rsidRPr="00B70B9A">
        <w:rPr>
          <w:rFonts w:ascii="Times New Roman" w:hAnsi="Times New Roman" w:hint="eastAsia"/>
          <w:sz w:val="22"/>
        </w:rPr>
        <w:t xml:space="preserve"> first issue is</w:t>
      </w:r>
      <w:r w:rsidRPr="00B70B9A">
        <w:t xml:space="preserve"> </w:t>
      </w:r>
      <w:r w:rsidRPr="00B70B9A">
        <w:rPr>
          <w:rFonts w:ascii="Times New Roman" w:hAnsi="Times New Roman"/>
          <w:sz w:val="22"/>
        </w:rPr>
        <w:t>whether the same thresholds</w:t>
      </w:r>
      <w:r>
        <w:rPr>
          <w:rFonts w:ascii="Times New Roman" w:hAnsi="Times New Roman" w:hint="eastAsia"/>
          <w:sz w:val="22"/>
        </w:rPr>
        <w:t xml:space="preserve"> can be reused and how many</w:t>
      </w:r>
      <w:r w:rsidRPr="00B70B9A">
        <w:rPr>
          <w:rFonts w:ascii="Times New Roman" w:hAnsi="Times New Roman"/>
          <w:sz w:val="22"/>
        </w:rPr>
        <w:t xml:space="preserve"> levels</w:t>
      </w:r>
      <w:r>
        <w:rPr>
          <w:rFonts w:ascii="Times New Roman" w:hAnsi="Times New Roman" w:hint="eastAsia"/>
          <w:sz w:val="22"/>
        </w:rPr>
        <w:t xml:space="preserve"> can be supported. In our understanding as RAN2 have agreed to provide </w:t>
      </w:r>
      <w:r w:rsidRPr="009977B9">
        <w:rPr>
          <w:rFonts w:ascii="Times New Roman" w:hAnsi="Times New Roman"/>
          <w:sz w:val="22"/>
        </w:rPr>
        <w:t>cell-specific CB-Msg3 PUSCH resources</w:t>
      </w:r>
      <w:r>
        <w:rPr>
          <w:rFonts w:ascii="Times New Roman" w:hAnsi="Times New Roman" w:hint="eastAsia"/>
          <w:sz w:val="22"/>
        </w:rPr>
        <w:t xml:space="preserve"> </w:t>
      </w:r>
      <w:r w:rsidRPr="00CC3309">
        <w:rPr>
          <w:rFonts w:ascii="Times New Roman" w:hAnsi="Times New Roman"/>
          <w:sz w:val="22"/>
        </w:rPr>
        <w:t>per CE level</w:t>
      </w:r>
      <w:r>
        <w:rPr>
          <w:rFonts w:ascii="Times New Roman" w:hAnsi="Times New Roman" w:hint="eastAsia"/>
          <w:sz w:val="22"/>
        </w:rPr>
        <w:t>, it is also reasonable to have the same thresholds as well as level differentiation.</w:t>
      </w:r>
    </w:p>
    <w:p w14:paraId="3AC97BA9" w14:textId="170A6C3D" w:rsidR="00B70B9A" w:rsidRPr="003502C6" w:rsidRDefault="00B70B9A" w:rsidP="009977B9">
      <w:pPr>
        <w:spacing w:beforeLines="50" w:before="156" w:afterLines="50" w:after="156"/>
        <w:rPr>
          <w:rFonts w:ascii="Times New Roman" w:hAnsi="Times New Roman"/>
          <w:b/>
          <w:bCs/>
          <w:sz w:val="22"/>
        </w:rPr>
      </w:pPr>
      <w:r w:rsidRPr="003502C6">
        <w:rPr>
          <w:rFonts w:ascii="Times New Roman" w:hAnsi="Times New Roman" w:hint="eastAsia"/>
          <w:b/>
          <w:bCs/>
          <w:sz w:val="22"/>
        </w:rPr>
        <w:t xml:space="preserve">Proposal 1: The </w:t>
      </w:r>
      <w:r w:rsidRPr="003502C6">
        <w:rPr>
          <w:rFonts w:ascii="Times New Roman" w:hAnsi="Times New Roman"/>
          <w:b/>
          <w:bCs/>
          <w:sz w:val="22"/>
        </w:rPr>
        <w:t xml:space="preserve">RSRP </w:t>
      </w:r>
      <w:r w:rsidRPr="003502C6">
        <w:rPr>
          <w:rFonts w:ascii="Times New Roman" w:hAnsi="Times New Roman" w:hint="eastAsia"/>
          <w:b/>
          <w:bCs/>
          <w:sz w:val="22"/>
        </w:rPr>
        <w:t xml:space="preserve">thresholds for CE level determination is reused to determine whether UE can use the </w:t>
      </w:r>
      <w:r w:rsidRPr="003502C6">
        <w:rPr>
          <w:rFonts w:ascii="Times New Roman" w:hAnsi="Times New Roman"/>
          <w:b/>
          <w:bCs/>
          <w:sz w:val="22"/>
        </w:rPr>
        <w:t>cell-specific CB-Msg3 PUSCH resources</w:t>
      </w:r>
      <w:r w:rsidRPr="003502C6">
        <w:rPr>
          <w:rFonts w:ascii="Times New Roman" w:hAnsi="Times New Roman" w:hint="eastAsia"/>
          <w:b/>
          <w:bCs/>
          <w:sz w:val="22"/>
        </w:rPr>
        <w:t xml:space="preserve"> associated to the corresponding CE level</w:t>
      </w:r>
      <w:r w:rsidR="003502C6" w:rsidRPr="003502C6">
        <w:rPr>
          <w:rFonts w:ascii="Times New Roman" w:hAnsi="Times New Roman" w:hint="eastAsia"/>
          <w:b/>
          <w:bCs/>
          <w:sz w:val="22"/>
        </w:rPr>
        <w:t>.</w:t>
      </w:r>
    </w:p>
    <w:p w14:paraId="2164F9DA" w14:textId="17F289A5" w:rsidR="003502C6" w:rsidRDefault="00971425" w:rsidP="00870C96">
      <w:pPr>
        <w:spacing w:beforeLines="50" w:before="156" w:afterLines="50" w:after="156"/>
        <w:rPr>
          <w:rFonts w:ascii="Times New Roman" w:hAnsi="Times New Roman"/>
          <w:sz w:val="22"/>
        </w:rPr>
      </w:pPr>
      <w:r>
        <w:rPr>
          <w:rFonts w:ascii="Times New Roman" w:hAnsi="Times New Roman"/>
          <w:sz w:val="22"/>
        </w:rPr>
        <w:t>For the initiation of an EDT operation,</w:t>
      </w:r>
      <w:r w:rsidR="00873EEF" w:rsidRPr="00873EEF">
        <w:rPr>
          <w:rFonts w:ascii="Times New Roman" w:hAnsi="Times New Roman"/>
          <w:sz w:val="22"/>
        </w:rPr>
        <w:t xml:space="preserve"> legacy EDT</w:t>
      </w:r>
      <w:r>
        <w:rPr>
          <w:rFonts w:ascii="Times New Roman" w:hAnsi="Times New Roman"/>
          <w:sz w:val="22"/>
        </w:rPr>
        <w:t xml:space="preserve"> scheme</w:t>
      </w:r>
      <w:r w:rsidR="00873EEF" w:rsidRPr="00873EEF">
        <w:rPr>
          <w:rFonts w:ascii="Times New Roman" w:hAnsi="Times New Roman"/>
          <w:sz w:val="22"/>
        </w:rPr>
        <w:t xml:space="preserve"> considers one metric of data size while the channel quality (e.g., signal strength) can be guaranteed by random access mechanisms (e.g., power ramping). </w:t>
      </w:r>
      <w:r w:rsidR="003502C6">
        <w:rPr>
          <w:rFonts w:ascii="Times New Roman" w:hAnsi="Times New Roman" w:hint="eastAsia"/>
          <w:sz w:val="22"/>
        </w:rPr>
        <w:t xml:space="preserve">This mechanism was agreed to be reused while there is a further issue about </w:t>
      </w:r>
      <w:r w:rsidR="003502C6" w:rsidRPr="003502C6">
        <w:rPr>
          <w:rFonts w:ascii="Times New Roman" w:hAnsi="Times New Roman"/>
          <w:sz w:val="22"/>
        </w:rPr>
        <w:t>the maximum TBS for different CE levels</w:t>
      </w:r>
      <w:r w:rsidR="003502C6">
        <w:rPr>
          <w:rFonts w:ascii="Times New Roman" w:hAnsi="Times New Roman" w:hint="eastAsia"/>
          <w:sz w:val="22"/>
        </w:rPr>
        <w:t>. In our understanding there is no strong motivation to have a separate TBS size limitation for each CE level.</w:t>
      </w:r>
    </w:p>
    <w:p w14:paraId="197BC449" w14:textId="4D04C986" w:rsidR="003502C6" w:rsidRPr="003502C6" w:rsidRDefault="003502C6" w:rsidP="00870C96">
      <w:pPr>
        <w:spacing w:beforeLines="50" w:before="156" w:afterLines="50" w:after="156"/>
        <w:rPr>
          <w:rFonts w:ascii="Times New Roman" w:hAnsi="Times New Roman"/>
          <w:b/>
          <w:bCs/>
          <w:sz w:val="22"/>
        </w:rPr>
      </w:pPr>
      <w:r w:rsidRPr="003502C6">
        <w:rPr>
          <w:rFonts w:ascii="Times New Roman" w:hAnsi="Times New Roman" w:hint="eastAsia"/>
          <w:b/>
          <w:bCs/>
          <w:sz w:val="22"/>
        </w:rPr>
        <w:t>Proposal 2: T</w:t>
      </w:r>
      <w:r w:rsidRPr="003502C6">
        <w:rPr>
          <w:rFonts w:ascii="Times New Roman" w:hAnsi="Times New Roman"/>
          <w:b/>
          <w:bCs/>
          <w:sz w:val="22"/>
        </w:rPr>
        <w:t>he maximum TBS</w:t>
      </w:r>
      <w:r w:rsidRPr="003502C6">
        <w:rPr>
          <w:rFonts w:ascii="Times New Roman" w:hAnsi="Times New Roman" w:hint="eastAsia"/>
          <w:b/>
          <w:bCs/>
          <w:sz w:val="22"/>
        </w:rPr>
        <w:t xml:space="preserve"> size</w:t>
      </w:r>
      <w:r w:rsidRPr="003502C6">
        <w:rPr>
          <w:rFonts w:ascii="Times New Roman" w:hAnsi="Times New Roman"/>
          <w:b/>
          <w:bCs/>
          <w:sz w:val="22"/>
        </w:rPr>
        <w:t xml:space="preserve"> </w:t>
      </w:r>
      <w:r w:rsidRPr="003502C6">
        <w:rPr>
          <w:rFonts w:ascii="Times New Roman" w:hAnsi="Times New Roman" w:hint="eastAsia"/>
          <w:b/>
          <w:bCs/>
          <w:sz w:val="22"/>
        </w:rPr>
        <w:t xml:space="preserve">to initiate CB-Msg3 </w:t>
      </w:r>
      <w:r w:rsidRPr="003502C6">
        <w:rPr>
          <w:rFonts w:ascii="Times New Roman" w:hAnsi="Times New Roman"/>
          <w:b/>
          <w:bCs/>
          <w:sz w:val="22"/>
        </w:rPr>
        <w:t xml:space="preserve">is </w:t>
      </w:r>
      <w:r w:rsidRPr="003502C6">
        <w:rPr>
          <w:rFonts w:ascii="Times New Roman" w:hAnsi="Times New Roman" w:hint="eastAsia"/>
          <w:b/>
          <w:bCs/>
          <w:sz w:val="22"/>
        </w:rPr>
        <w:t xml:space="preserve">the </w:t>
      </w:r>
      <w:r w:rsidRPr="003502C6">
        <w:rPr>
          <w:rFonts w:ascii="Times New Roman" w:hAnsi="Times New Roman"/>
          <w:b/>
          <w:bCs/>
          <w:sz w:val="22"/>
        </w:rPr>
        <w:t xml:space="preserve">same for </w:t>
      </w:r>
      <w:r w:rsidRPr="003502C6">
        <w:rPr>
          <w:rFonts w:ascii="Times New Roman" w:hAnsi="Times New Roman" w:hint="eastAsia"/>
          <w:b/>
          <w:bCs/>
          <w:sz w:val="22"/>
        </w:rPr>
        <w:t>all</w:t>
      </w:r>
      <w:r w:rsidRPr="003502C6">
        <w:rPr>
          <w:rFonts w:ascii="Times New Roman" w:hAnsi="Times New Roman"/>
          <w:b/>
          <w:bCs/>
          <w:sz w:val="22"/>
        </w:rPr>
        <w:t xml:space="preserve"> CE levels</w:t>
      </w:r>
      <w:r w:rsidRPr="003502C6">
        <w:rPr>
          <w:rFonts w:ascii="Times New Roman" w:hAnsi="Times New Roman" w:hint="eastAsia"/>
          <w:b/>
          <w:bCs/>
          <w:sz w:val="22"/>
        </w:rPr>
        <w:t>.</w:t>
      </w:r>
    </w:p>
    <w:p w14:paraId="02B7CAE4" w14:textId="32D1EDE1" w:rsidR="00942767" w:rsidRDefault="00942767" w:rsidP="00942767">
      <w:pPr>
        <w:spacing w:beforeLines="50" w:before="156" w:afterLines="50" w:after="156"/>
        <w:rPr>
          <w:rFonts w:ascii="Times New Roman" w:hAnsi="Times New Roman"/>
          <w:sz w:val="22"/>
        </w:rPr>
      </w:pPr>
      <w:r>
        <w:rPr>
          <w:rFonts w:ascii="Times New Roman" w:hAnsi="Times New Roman" w:hint="eastAsia"/>
          <w:sz w:val="22"/>
        </w:rPr>
        <w:t>For SA, a</w:t>
      </w:r>
      <w:r w:rsidRPr="00942767">
        <w:rPr>
          <w:rFonts w:ascii="Times New Roman" w:hAnsi="Times New Roman"/>
          <w:sz w:val="22"/>
        </w:rPr>
        <w:t>fter the C</w:t>
      </w:r>
      <w:r>
        <w:rPr>
          <w:rFonts w:ascii="Times New Roman" w:hAnsi="Times New Roman" w:hint="eastAsia"/>
          <w:sz w:val="22"/>
        </w:rPr>
        <w:t>B</w:t>
      </w:r>
      <w:r w:rsidRPr="00942767">
        <w:rPr>
          <w:rFonts w:ascii="Times New Roman" w:hAnsi="Times New Roman"/>
          <w:sz w:val="22"/>
        </w:rPr>
        <w:t>-Msg3 transmission the UE start</w:t>
      </w:r>
      <w:r>
        <w:rPr>
          <w:rFonts w:ascii="Times New Roman" w:hAnsi="Times New Roman" w:hint="eastAsia"/>
          <w:sz w:val="22"/>
        </w:rPr>
        <w:t>s</w:t>
      </w:r>
      <w:r w:rsidRPr="00942767">
        <w:rPr>
          <w:rFonts w:ascii="Times New Roman" w:hAnsi="Times New Roman"/>
          <w:sz w:val="22"/>
        </w:rPr>
        <w:t xml:space="preserve"> a PDCCH monitoring window for response reception. </w:t>
      </w:r>
      <w:r>
        <w:rPr>
          <w:rFonts w:ascii="Times New Roman" w:hAnsi="Times New Roman" w:hint="eastAsia"/>
          <w:sz w:val="22"/>
        </w:rPr>
        <w:t xml:space="preserve">While for DSA, a following issue is </w:t>
      </w:r>
      <w:r w:rsidR="008A2D90">
        <w:rPr>
          <w:rFonts w:ascii="Times New Roman" w:hAnsi="Times New Roman" w:hint="eastAsia"/>
          <w:sz w:val="22"/>
        </w:rPr>
        <w:t>whether to have</w:t>
      </w:r>
      <w:r w:rsidR="008A2D90" w:rsidRPr="008A2D90">
        <w:rPr>
          <w:rFonts w:ascii="Times New Roman" w:hAnsi="Times New Roman"/>
          <w:sz w:val="22"/>
        </w:rPr>
        <w:t xml:space="preserve"> one or multiple PDCCH monitoring window(s) per each replica</w:t>
      </w:r>
      <w:r w:rsidR="008A2D90">
        <w:rPr>
          <w:rFonts w:ascii="Times New Roman" w:hAnsi="Times New Roman" w:hint="eastAsia"/>
          <w:sz w:val="22"/>
        </w:rPr>
        <w:t xml:space="preserve">. Noticing that RAN2#128 have agreed that </w:t>
      </w:r>
      <w:r w:rsidR="008A2D90" w:rsidRPr="008A2D90">
        <w:rPr>
          <w:rFonts w:ascii="Times New Roman" w:hAnsi="Times New Roman"/>
          <w:sz w:val="22"/>
        </w:rPr>
        <w:t>UE stops the PDCCH monitoring window(s) once it receives a CB-msg4 containing a matching Contention Resolution Identity</w:t>
      </w:r>
      <w:r w:rsidR="008A2D90">
        <w:rPr>
          <w:rFonts w:ascii="Times New Roman" w:hAnsi="Times New Roman" w:hint="eastAsia"/>
          <w:sz w:val="22"/>
        </w:rPr>
        <w:t xml:space="preserve">, we think it is better to keep it simple by </w:t>
      </w:r>
      <w:r w:rsidR="008A2D90">
        <w:rPr>
          <w:rFonts w:ascii="Times New Roman" w:hAnsi="Times New Roman"/>
          <w:sz w:val="22"/>
        </w:rPr>
        <w:t>having</w:t>
      </w:r>
      <w:r w:rsidR="008A2D90">
        <w:rPr>
          <w:rFonts w:ascii="Times New Roman" w:hAnsi="Times New Roman" w:hint="eastAsia"/>
          <w:sz w:val="22"/>
        </w:rPr>
        <w:t xml:space="preserve"> only one monitoring window.</w:t>
      </w:r>
    </w:p>
    <w:p w14:paraId="18183BB2" w14:textId="123E252B" w:rsidR="008A2D90" w:rsidRPr="008A2D90" w:rsidRDefault="008A2D90" w:rsidP="00942767">
      <w:pPr>
        <w:spacing w:beforeLines="50" w:before="156" w:afterLines="50" w:after="156"/>
        <w:rPr>
          <w:rFonts w:ascii="Times New Roman" w:hAnsi="Times New Roman"/>
          <w:b/>
          <w:bCs/>
          <w:sz w:val="22"/>
        </w:rPr>
      </w:pPr>
      <w:r w:rsidRPr="008A2D90">
        <w:rPr>
          <w:rFonts w:ascii="Times New Roman" w:hAnsi="Times New Roman" w:hint="eastAsia"/>
          <w:b/>
          <w:bCs/>
          <w:sz w:val="22"/>
        </w:rPr>
        <w:t>Proposal 3: O</w:t>
      </w:r>
      <w:r w:rsidRPr="008A2D90">
        <w:rPr>
          <w:rFonts w:ascii="Times New Roman" w:hAnsi="Times New Roman"/>
          <w:b/>
          <w:bCs/>
          <w:sz w:val="22"/>
        </w:rPr>
        <w:t>nly one PDCCH monitoring window is</w:t>
      </w:r>
      <w:r w:rsidRPr="008A2D90">
        <w:rPr>
          <w:rFonts w:ascii="Times New Roman" w:hAnsi="Times New Roman" w:hint="eastAsia"/>
          <w:b/>
          <w:bCs/>
          <w:sz w:val="22"/>
        </w:rPr>
        <w:t xml:space="preserve"> started for all </w:t>
      </w:r>
      <w:r w:rsidRPr="008A2D90">
        <w:rPr>
          <w:rFonts w:ascii="Times New Roman" w:hAnsi="Times New Roman"/>
          <w:b/>
          <w:bCs/>
          <w:sz w:val="22"/>
        </w:rPr>
        <w:t>C</w:t>
      </w:r>
      <w:r w:rsidRPr="008A2D90">
        <w:rPr>
          <w:rFonts w:ascii="Times New Roman" w:hAnsi="Times New Roman" w:hint="eastAsia"/>
          <w:b/>
          <w:bCs/>
          <w:sz w:val="22"/>
        </w:rPr>
        <w:t>B</w:t>
      </w:r>
      <w:r w:rsidRPr="008A2D90">
        <w:rPr>
          <w:rFonts w:ascii="Times New Roman" w:hAnsi="Times New Roman"/>
          <w:b/>
          <w:bCs/>
          <w:sz w:val="22"/>
        </w:rPr>
        <w:t>-Msg3</w:t>
      </w:r>
      <w:r w:rsidRPr="008A2D90">
        <w:rPr>
          <w:rFonts w:ascii="Times New Roman" w:hAnsi="Times New Roman" w:hint="eastAsia"/>
          <w:b/>
          <w:bCs/>
          <w:sz w:val="22"/>
        </w:rPr>
        <w:t xml:space="preserve"> replicas in</w:t>
      </w:r>
      <w:r w:rsidRPr="008A2D90">
        <w:rPr>
          <w:rFonts w:ascii="Times New Roman" w:hAnsi="Times New Roman"/>
          <w:b/>
          <w:bCs/>
          <w:sz w:val="22"/>
        </w:rPr>
        <w:t xml:space="preserve"> DSA case.</w:t>
      </w:r>
    </w:p>
    <w:p w14:paraId="026C15CD" w14:textId="6589B6E9" w:rsidR="001346BB" w:rsidRDefault="001346BB" w:rsidP="00942767">
      <w:pPr>
        <w:spacing w:beforeLines="50" w:before="156" w:afterLines="50" w:after="156"/>
        <w:rPr>
          <w:rFonts w:ascii="Times New Roman" w:hAnsi="Times New Roman"/>
          <w:sz w:val="22"/>
        </w:rPr>
      </w:pPr>
      <w:r>
        <w:rPr>
          <w:rFonts w:ascii="Times New Roman" w:hAnsi="Times New Roman" w:hint="eastAsia"/>
          <w:sz w:val="22"/>
        </w:rPr>
        <w:lastRenderedPageBreak/>
        <w:t xml:space="preserve">There are still other remaining issues including the </w:t>
      </w:r>
      <w:r w:rsidR="00BE695E">
        <w:rPr>
          <w:rFonts w:ascii="Times New Roman" w:hAnsi="Times New Roman" w:hint="eastAsia"/>
          <w:sz w:val="22"/>
        </w:rPr>
        <w:t xml:space="preserve">common or separate </w:t>
      </w:r>
      <w:r>
        <w:rPr>
          <w:rFonts w:ascii="Times New Roman" w:hAnsi="Times New Roman" w:hint="eastAsia"/>
          <w:sz w:val="22"/>
        </w:rPr>
        <w:t xml:space="preserve">RNTI(s) for </w:t>
      </w:r>
      <w:r w:rsidR="00BE695E">
        <w:rPr>
          <w:rFonts w:ascii="Times New Roman" w:hAnsi="Times New Roman" w:hint="eastAsia"/>
          <w:sz w:val="22"/>
        </w:rPr>
        <w:t>replicas, but it is obvious that CB-Msg4 format shall be decide to continue such discussions.</w:t>
      </w:r>
    </w:p>
    <w:p w14:paraId="1AB5AC8C" w14:textId="0AA3A867" w:rsidR="003645F2" w:rsidRPr="002F6C9D" w:rsidRDefault="003645F2" w:rsidP="003645F2">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 xml:space="preserve">Efficient delivery of Msg4 </w:t>
      </w:r>
      <w:r w:rsidRPr="002F6C9D">
        <w:rPr>
          <w:rFonts w:ascii="Times New Roman" w:hAnsi="Times New Roman"/>
          <w:b/>
          <w:bCs/>
          <w:sz w:val="22"/>
          <w:u w:val="single"/>
        </w:rPr>
        <w:t>for EDT</w:t>
      </w:r>
    </w:p>
    <w:p w14:paraId="6B218E7F" w14:textId="3DFA2315" w:rsidR="007B48B5" w:rsidRPr="00BE695E" w:rsidRDefault="003645F2" w:rsidP="00BE695E">
      <w:pPr>
        <w:spacing w:beforeLines="50" w:before="156" w:afterLines="50" w:after="156"/>
        <w:rPr>
          <w:rFonts w:ascii="Times New Roman" w:hAnsi="Times New Roman"/>
          <w:sz w:val="22"/>
        </w:rPr>
      </w:pPr>
      <w:r>
        <w:rPr>
          <w:rFonts w:ascii="Times New Roman" w:hAnsi="Times New Roman"/>
          <w:sz w:val="22"/>
        </w:rPr>
        <w:t xml:space="preserve">In legacy EDT the </w:t>
      </w:r>
      <w:r w:rsidRPr="003645F2">
        <w:rPr>
          <w:rFonts w:ascii="Times New Roman" w:hAnsi="Times New Roman"/>
          <w:sz w:val="22"/>
        </w:rPr>
        <w:t>delivery of Msg4</w:t>
      </w:r>
      <w:r>
        <w:rPr>
          <w:rFonts w:ascii="Times New Roman" w:hAnsi="Times New Roman"/>
          <w:sz w:val="22"/>
        </w:rPr>
        <w:t xml:space="preserve"> </w:t>
      </w:r>
      <w:r w:rsidRPr="003645F2">
        <w:rPr>
          <w:rFonts w:ascii="Times New Roman" w:hAnsi="Times New Roman"/>
          <w:sz w:val="22"/>
        </w:rPr>
        <w:t>(</w:t>
      </w:r>
      <w:r>
        <w:rPr>
          <w:rFonts w:ascii="Times New Roman" w:hAnsi="Times New Roman"/>
          <w:sz w:val="22"/>
        </w:rPr>
        <w:t xml:space="preserve">e.g., </w:t>
      </w:r>
      <w:r w:rsidRPr="003645F2">
        <w:rPr>
          <w:rFonts w:ascii="Times New Roman" w:hAnsi="Times New Roman"/>
          <w:i/>
          <w:iCs/>
          <w:sz w:val="22"/>
        </w:rPr>
        <w:t>RRCEarlyDataComplete</w:t>
      </w:r>
      <w:r>
        <w:rPr>
          <w:rFonts w:ascii="Times New Roman" w:hAnsi="Times New Roman"/>
          <w:sz w:val="22"/>
        </w:rPr>
        <w:t xml:space="preserve"> for CP-EDT</w:t>
      </w:r>
      <w:r w:rsidRPr="003645F2">
        <w:rPr>
          <w:rFonts w:ascii="Times New Roman" w:hAnsi="Times New Roman"/>
          <w:sz w:val="22"/>
        </w:rPr>
        <w:t xml:space="preserve">) is unicast via dedicated </w:t>
      </w:r>
      <w:r w:rsidR="007B48B5">
        <w:rPr>
          <w:rFonts w:ascii="Times New Roman" w:hAnsi="Times New Roman"/>
          <w:sz w:val="22"/>
        </w:rPr>
        <w:t xml:space="preserve">RRC </w:t>
      </w:r>
      <w:r w:rsidRPr="003645F2">
        <w:rPr>
          <w:rFonts w:ascii="Times New Roman" w:hAnsi="Times New Roman"/>
          <w:sz w:val="22"/>
        </w:rPr>
        <w:t>signalling</w:t>
      </w:r>
      <w:r w:rsidR="007B48B5">
        <w:rPr>
          <w:rFonts w:ascii="Times New Roman" w:hAnsi="Times New Roman"/>
          <w:sz w:val="22"/>
        </w:rPr>
        <w:t>,</w:t>
      </w:r>
      <w:r w:rsidRPr="003645F2">
        <w:rPr>
          <w:rFonts w:ascii="Times New Roman" w:hAnsi="Times New Roman"/>
          <w:sz w:val="22"/>
        </w:rPr>
        <w:t xml:space="preserve"> and its included fields (</w:t>
      </w:r>
      <w:r w:rsidR="007B48B5">
        <w:rPr>
          <w:rFonts w:ascii="Times New Roman" w:hAnsi="Times New Roman"/>
          <w:sz w:val="22"/>
        </w:rPr>
        <w:t xml:space="preserve">e.g., </w:t>
      </w:r>
      <w:r w:rsidRPr="007B48B5">
        <w:rPr>
          <w:rFonts w:ascii="Times New Roman" w:hAnsi="Times New Roman"/>
          <w:i/>
          <w:iCs/>
          <w:sz w:val="22"/>
        </w:rPr>
        <w:t>dedicatedInfoNAS</w:t>
      </w:r>
      <w:r w:rsidRPr="003645F2">
        <w:rPr>
          <w:rFonts w:ascii="Times New Roman" w:hAnsi="Times New Roman"/>
          <w:sz w:val="22"/>
        </w:rPr>
        <w:t xml:space="preserve">, </w:t>
      </w:r>
      <w:r w:rsidRPr="007B48B5">
        <w:rPr>
          <w:rFonts w:ascii="Times New Roman" w:hAnsi="Times New Roman"/>
          <w:i/>
          <w:iCs/>
          <w:sz w:val="22"/>
        </w:rPr>
        <w:t>extendedWaitTime</w:t>
      </w:r>
      <w:r w:rsidRPr="003645F2">
        <w:rPr>
          <w:rFonts w:ascii="Times New Roman" w:hAnsi="Times New Roman"/>
          <w:sz w:val="22"/>
        </w:rPr>
        <w:t xml:space="preserve">, </w:t>
      </w:r>
      <w:r w:rsidRPr="007B48B5">
        <w:rPr>
          <w:rFonts w:ascii="Times New Roman" w:hAnsi="Times New Roman"/>
          <w:i/>
          <w:iCs/>
          <w:sz w:val="22"/>
        </w:rPr>
        <w:t>idleModeMobilityControlInfo</w:t>
      </w:r>
      <w:r w:rsidRPr="003645F2">
        <w:rPr>
          <w:rFonts w:ascii="Times New Roman" w:hAnsi="Times New Roman"/>
          <w:sz w:val="22"/>
        </w:rPr>
        <w:t xml:space="preserve">, </w:t>
      </w:r>
      <w:r w:rsidRPr="007B48B5">
        <w:rPr>
          <w:rFonts w:ascii="Times New Roman" w:hAnsi="Times New Roman"/>
          <w:i/>
          <w:iCs/>
          <w:sz w:val="22"/>
        </w:rPr>
        <w:t>redirectedCarrierInfo</w:t>
      </w:r>
      <w:r w:rsidRPr="003645F2">
        <w:rPr>
          <w:rFonts w:ascii="Times New Roman" w:hAnsi="Times New Roman"/>
          <w:sz w:val="22"/>
        </w:rPr>
        <w:t xml:space="preserve">) are </w:t>
      </w:r>
      <w:r w:rsidR="007B48B5">
        <w:rPr>
          <w:rFonts w:ascii="Times New Roman" w:hAnsi="Times New Roman"/>
          <w:sz w:val="22"/>
        </w:rPr>
        <w:t xml:space="preserve">specified as </w:t>
      </w:r>
      <w:r w:rsidRPr="003645F2">
        <w:rPr>
          <w:rFonts w:ascii="Times New Roman" w:hAnsi="Times New Roman"/>
          <w:sz w:val="22"/>
        </w:rPr>
        <w:t xml:space="preserve">optional. </w:t>
      </w:r>
      <w:r w:rsidR="007B48B5">
        <w:rPr>
          <w:rFonts w:ascii="Times New Roman" w:hAnsi="Times New Roman"/>
          <w:sz w:val="22"/>
        </w:rPr>
        <w:t>From network perspective eNB can reduce overhead simply by omitting some unnecessary fields</w:t>
      </w:r>
      <w:r w:rsidR="00BE695E">
        <w:rPr>
          <w:rFonts w:ascii="Times New Roman" w:hAnsi="Times New Roman" w:hint="eastAsia"/>
          <w:sz w:val="22"/>
        </w:rPr>
        <w:t xml:space="preserve"> or</w:t>
      </w:r>
      <w:r w:rsidR="007B48B5" w:rsidRPr="007B48B5">
        <w:rPr>
          <w:rFonts w:ascii="Times New Roman" w:hAnsi="Times New Roman"/>
          <w:b/>
          <w:bCs/>
          <w:sz w:val="22"/>
        </w:rPr>
        <w:t xml:space="preserve"> </w:t>
      </w:r>
      <w:r w:rsidR="007B48B5" w:rsidRPr="00BE695E">
        <w:rPr>
          <w:rFonts w:ascii="Times New Roman" w:hAnsi="Times New Roman"/>
          <w:sz w:val="22"/>
        </w:rPr>
        <w:t>restricting the optional fields in Msg4.</w:t>
      </w:r>
    </w:p>
    <w:p w14:paraId="167E9FC0" w14:textId="00930F75" w:rsidR="007B48B5" w:rsidRDefault="00C00092" w:rsidP="00870C96">
      <w:pPr>
        <w:spacing w:beforeLines="50" w:before="156" w:afterLines="50" w:after="156"/>
        <w:rPr>
          <w:rFonts w:ascii="Times New Roman" w:hAnsi="Times New Roman"/>
          <w:sz w:val="22"/>
        </w:rPr>
      </w:pPr>
      <w:r>
        <w:rPr>
          <w:rFonts w:ascii="Times New Roman" w:hAnsi="Times New Roman"/>
          <w:sz w:val="22"/>
        </w:rPr>
        <w:t>Moreover, t</w:t>
      </w:r>
      <w:r w:rsidRPr="00C00092">
        <w:rPr>
          <w:rFonts w:ascii="Times New Roman" w:hAnsi="Times New Roman"/>
          <w:sz w:val="22"/>
        </w:rPr>
        <w:t>he</w:t>
      </w:r>
      <w:r>
        <w:rPr>
          <w:rFonts w:ascii="Times New Roman" w:hAnsi="Times New Roman"/>
          <w:sz w:val="22"/>
        </w:rPr>
        <w:t>se</w:t>
      </w:r>
      <w:r w:rsidRPr="00C00092">
        <w:rPr>
          <w:rFonts w:ascii="Times New Roman" w:hAnsi="Times New Roman"/>
          <w:sz w:val="22"/>
        </w:rPr>
        <w:t xml:space="preserve"> </w:t>
      </w:r>
      <w:r>
        <w:rPr>
          <w:rFonts w:ascii="Times New Roman" w:hAnsi="Times New Roman"/>
          <w:sz w:val="22"/>
        </w:rPr>
        <w:t>field</w:t>
      </w:r>
      <w:r w:rsidRPr="00C00092">
        <w:rPr>
          <w:rFonts w:ascii="Times New Roman" w:hAnsi="Times New Roman"/>
          <w:sz w:val="22"/>
        </w:rPr>
        <w:t xml:space="preserve">s of Msg4 are not all UE-specific e.g., </w:t>
      </w:r>
      <w:r w:rsidRPr="00C00092">
        <w:rPr>
          <w:rFonts w:ascii="Times New Roman" w:hAnsi="Times New Roman"/>
          <w:i/>
          <w:iCs/>
          <w:sz w:val="22"/>
        </w:rPr>
        <w:t>extendedWaitTime</w:t>
      </w:r>
      <w:r w:rsidRPr="00C00092">
        <w:rPr>
          <w:rFonts w:ascii="Times New Roman" w:hAnsi="Times New Roman"/>
          <w:sz w:val="22"/>
        </w:rPr>
        <w:t xml:space="preserve">, </w:t>
      </w:r>
      <w:r w:rsidRPr="00C00092">
        <w:rPr>
          <w:rFonts w:ascii="Times New Roman" w:hAnsi="Times New Roman"/>
          <w:i/>
          <w:iCs/>
          <w:sz w:val="22"/>
        </w:rPr>
        <w:t>idleModeMobilityControlInfo</w:t>
      </w:r>
      <w:r w:rsidRPr="00C00092">
        <w:rPr>
          <w:rFonts w:ascii="Times New Roman" w:hAnsi="Times New Roman"/>
          <w:sz w:val="22"/>
        </w:rPr>
        <w:t xml:space="preserve">, </w:t>
      </w:r>
      <w:r>
        <w:rPr>
          <w:rFonts w:ascii="Times New Roman" w:hAnsi="Times New Roman"/>
          <w:sz w:val="22"/>
        </w:rPr>
        <w:t xml:space="preserve">and </w:t>
      </w:r>
      <w:r w:rsidRPr="00C00092">
        <w:rPr>
          <w:rFonts w:ascii="Times New Roman" w:hAnsi="Times New Roman"/>
          <w:i/>
          <w:iCs/>
          <w:sz w:val="22"/>
        </w:rPr>
        <w:t>redirectedCarrierInfo</w:t>
      </w:r>
      <w:r w:rsidRPr="00C00092">
        <w:rPr>
          <w:rFonts w:ascii="Times New Roman" w:hAnsi="Times New Roman"/>
          <w:sz w:val="22"/>
        </w:rPr>
        <w:t xml:space="preserve"> could be common for multiple or even all UEs in </w:t>
      </w:r>
      <w:r>
        <w:rPr>
          <w:rFonts w:ascii="Times New Roman" w:hAnsi="Times New Roman"/>
          <w:sz w:val="22"/>
        </w:rPr>
        <w:t>the</w:t>
      </w:r>
      <w:r w:rsidRPr="00C00092">
        <w:rPr>
          <w:rFonts w:ascii="Times New Roman" w:hAnsi="Times New Roman"/>
          <w:sz w:val="22"/>
        </w:rPr>
        <w:t xml:space="preserve"> cell</w:t>
      </w:r>
      <w:r>
        <w:rPr>
          <w:rFonts w:ascii="Times New Roman" w:hAnsi="Times New Roman"/>
          <w:sz w:val="22"/>
        </w:rPr>
        <w:t xml:space="preserve">, and </w:t>
      </w:r>
      <w:r w:rsidRPr="007B48B5">
        <w:rPr>
          <w:rFonts w:ascii="Times New Roman" w:hAnsi="Times New Roman"/>
          <w:i/>
          <w:iCs/>
          <w:sz w:val="22"/>
        </w:rPr>
        <w:t>dedicatedInfoNAS</w:t>
      </w:r>
      <w:r>
        <w:rPr>
          <w:rFonts w:ascii="Times New Roman" w:hAnsi="Times New Roman"/>
          <w:sz w:val="22"/>
        </w:rPr>
        <w:t xml:space="preserve"> could also be common when it is empty or zero (i.e., no DL data for EDT from core network)</w:t>
      </w:r>
      <w:r w:rsidRPr="00C00092">
        <w:rPr>
          <w:rFonts w:ascii="Times New Roman" w:hAnsi="Times New Roman"/>
          <w:sz w:val="22"/>
        </w:rPr>
        <w:t>.</w:t>
      </w:r>
      <w:r>
        <w:rPr>
          <w:rFonts w:ascii="Times New Roman" w:hAnsi="Times New Roman"/>
          <w:sz w:val="22"/>
        </w:rPr>
        <w:t xml:space="preserve"> Therefore i</w:t>
      </w:r>
      <w:r w:rsidRPr="00C00092">
        <w:rPr>
          <w:rFonts w:ascii="Times New Roman" w:hAnsi="Times New Roman"/>
          <w:sz w:val="22"/>
        </w:rPr>
        <w:t xml:space="preserve">t is not necessary to always unicast </w:t>
      </w:r>
      <w:r>
        <w:rPr>
          <w:rFonts w:ascii="Times New Roman" w:hAnsi="Times New Roman"/>
          <w:sz w:val="22"/>
        </w:rPr>
        <w:t xml:space="preserve">all </w:t>
      </w:r>
      <w:r w:rsidRPr="00C00092">
        <w:rPr>
          <w:rFonts w:ascii="Times New Roman" w:hAnsi="Times New Roman"/>
          <w:sz w:val="22"/>
        </w:rPr>
        <w:t>these fields with duplicated signalling overhead.</w:t>
      </w:r>
      <w:r>
        <w:rPr>
          <w:rFonts w:ascii="Times New Roman" w:hAnsi="Times New Roman"/>
          <w:sz w:val="22"/>
        </w:rPr>
        <w:t xml:space="preserve"> Based on the above analysis, at least the following two directions can be considered for efficient Msg4 delivery:</w:t>
      </w:r>
    </w:p>
    <w:p w14:paraId="588CE081" w14:textId="5363E0BA" w:rsidR="00C00092" w:rsidRPr="001A1CC1" w:rsidRDefault="00C00092" w:rsidP="00870C96">
      <w:pPr>
        <w:pStyle w:val="a6"/>
        <w:numPr>
          <w:ilvl w:val="0"/>
          <w:numId w:val="44"/>
        </w:numPr>
        <w:spacing w:beforeLines="50" w:before="156" w:afterLines="50" w:after="156"/>
        <w:ind w:left="442" w:firstLineChars="0" w:hanging="442"/>
        <w:rPr>
          <w:sz w:val="22"/>
        </w:rPr>
      </w:pPr>
      <w:r w:rsidRPr="001A1CC1">
        <w:rPr>
          <w:rFonts w:hint="eastAsia"/>
          <w:sz w:val="22"/>
        </w:rPr>
        <w:t>C</w:t>
      </w:r>
      <w:r w:rsidRPr="001A1CC1">
        <w:rPr>
          <w:sz w:val="22"/>
        </w:rPr>
        <w:t xml:space="preserve">ase A: At least part of Msg4 </w:t>
      </w:r>
      <w:r w:rsidR="006062A3" w:rsidRPr="001A1CC1">
        <w:rPr>
          <w:sz w:val="22"/>
        </w:rPr>
        <w:t>is common for multiple UEs initiated EDT in the cell. In this case the common part of Msg4 may be delivered in a non-unicast manner.</w:t>
      </w:r>
    </w:p>
    <w:p w14:paraId="51FE7ACE" w14:textId="33930D35" w:rsidR="006062A3" w:rsidRPr="001A1CC1" w:rsidRDefault="006062A3" w:rsidP="00870C96">
      <w:pPr>
        <w:pStyle w:val="a6"/>
        <w:numPr>
          <w:ilvl w:val="0"/>
          <w:numId w:val="44"/>
        </w:numPr>
        <w:spacing w:beforeLines="50" w:before="156" w:afterLines="50" w:after="156"/>
        <w:ind w:left="442" w:firstLineChars="0" w:hanging="442"/>
        <w:rPr>
          <w:sz w:val="22"/>
          <w:lang w:val="en-US"/>
        </w:rPr>
      </w:pPr>
      <w:r w:rsidRPr="001A1CC1">
        <w:rPr>
          <w:sz w:val="22"/>
        </w:rPr>
        <w:t>Case B: No DL data or other configuration is to be delivered to UE (i.e., empty Msg4). In this case an alternative indication other than Msg4 via RRC can be considered e.g., the Layer 1 or MAC CE acknowledgement used for PUR.</w:t>
      </w:r>
    </w:p>
    <w:p w14:paraId="40060B2B" w14:textId="317D3B33" w:rsidR="003645F2" w:rsidRDefault="005009D0" w:rsidP="00870C96">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herefore the following directions can be further discussed:</w:t>
      </w:r>
    </w:p>
    <w:p w14:paraId="15F184E8" w14:textId="41DCAD14" w:rsidR="005009D0" w:rsidRPr="003464B7" w:rsidRDefault="005009D0" w:rsidP="00870C96">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sidR="00BE695E">
        <w:rPr>
          <w:rFonts w:ascii="Times New Roman" w:hAnsi="Times New Roman" w:hint="eastAsia"/>
          <w:b/>
          <w:bCs/>
          <w:sz w:val="22"/>
        </w:rPr>
        <w:t>4</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6D846C21" w14:textId="2CB15AE1" w:rsidR="005009D0" w:rsidRPr="003464B7" w:rsidRDefault="005009D0" w:rsidP="00870C96">
      <w:pPr>
        <w:pStyle w:val="a6"/>
        <w:numPr>
          <w:ilvl w:val="0"/>
          <w:numId w:val="43"/>
        </w:numPr>
        <w:spacing w:beforeLines="50" w:before="156" w:afterLines="50" w:after="156"/>
        <w:ind w:left="442" w:firstLineChars="0" w:hanging="442"/>
        <w:rPr>
          <w:b/>
          <w:bCs/>
          <w:sz w:val="22"/>
        </w:rPr>
      </w:pPr>
      <w:r>
        <w:rPr>
          <w:b/>
          <w:bCs/>
          <w:sz w:val="22"/>
        </w:rPr>
        <w:t>Msg4 delivery in non-unicast ways (e.g., multicast)</w:t>
      </w:r>
      <w:r w:rsidRPr="003464B7">
        <w:rPr>
          <w:b/>
          <w:bCs/>
          <w:sz w:val="22"/>
        </w:rPr>
        <w:t>;</w:t>
      </w:r>
    </w:p>
    <w:p w14:paraId="5156BE7E" w14:textId="32885604" w:rsidR="005009D0" w:rsidRPr="005009D0" w:rsidRDefault="005009D0" w:rsidP="00870C96">
      <w:pPr>
        <w:pStyle w:val="a6"/>
        <w:numPr>
          <w:ilvl w:val="0"/>
          <w:numId w:val="43"/>
        </w:numPr>
        <w:spacing w:beforeLines="50" w:before="156" w:afterLines="50" w:after="156"/>
        <w:ind w:left="442" w:firstLineChars="0" w:hanging="442"/>
        <w:rPr>
          <w:b/>
          <w:bCs/>
          <w:sz w:val="22"/>
        </w:rPr>
      </w:pPr>
      <w:r>
        <w:rPr>
          <w:b/>
          <w:bCs/>
          <w:sz w:val="22"/>
        </w:rPr>
        <w:t>Msg4 delivery using lower layer indication (e.g., Layer 1 indication or MAC CE as in PUR).</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38923D61" w:rsidR="00A90536" w:rsidRDefault="00886071" w:rsidP="00BE695E">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 xml:space="preserve">discuss </w:t>
      </w:r>
      <w:r w:rsidR="00AC666A" w:rsidRPr="00AC666A">
        <w:rPr>
          <w:rFonts w:ascii="Times New Roman" w:hAnsi="Times New Roman"/>
          <w:sz w:val="22"/>
        </w:rPr>
        <w:t>the potential issues and solutions for EDT enhancements in IoT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 xml:space="preserve">The following </w:t>
      </w:r>
      <w:r w:rsidR="00BE695E">
        <w:rPr>
          <w:rFonts w:ascii="Times New Roman" w:hAnsi="Times New Roman" w:hint="eastAsia"/>
          <w:sz w:val="22"/>
        </w:rPr>
        <w:t>proposals</w:t>
      </w:r>
      <w:r w:rsidR="009A4608">
        <w:rPr>
          <w:rFonts w:ascii="Times New Roman" w:hAnsi="Times New Roman"/>
          <w:sz w:val="22"/>
        </w:rPr>
        <w:t xml:space="preserve"> are given:</w:t>
      </w:r>
    </w:p>
    <w:p w14:paraId="3F6A0611" w14:textId="77777777" w:rsidR="00BE695E" w:rsidRPr="003502C6" w:rsidRDefault="00BE695E" w:rsidP="00BE695E">
      <w:pPr>
        <w:spacing w:beforeLines="50" w:before="156" w:afterLines="50" w:after="156"/>
        <w:rPr>
          <w:rFonts w:ascii="Times New Roman" w:hAnsi="Times New Roman"/>
          <w:b/>
          <w:bCs/>
          <w:sz w:val="22"/>
        </w:rPr>
      </w:pPr>
      <w:r w:rsidRPr="003502C6">
        <w:rPr>
          <w:rFonts w:ascii="Times New Roman" w:hAnsi="Times New Roman" w:hint="eastAsia"/>
          <w:b/>
          <w:bCs/>
          <w:sz w:val="22"/>
        </w:rPr>
        <w:t xml:space="preserve">Proposal 1: The </w:t>
      </w:r>
      <w:r w:rsidRPr="003502C6">
        <w:rPr>
          <w:rFonts w:ascii="Times New Roman" w:hAnsi="Times New Roman"/>
          <w:b/>
          <w:bCs/>
          <w:sz w:val="22"/>
        </w:rPr>
        <w:t xml:space="preserve">RSRP </w:t>
      </w:r>
      <w:r w:rsidRPr="003502C6">
        <w:rPr>
          <w:rFonts w:ascii="Times New Roman" w:hAnsi="Times New Roman" w:hint="eastAsia"/>
          <w:b/>
          <w:bCs/>
          <w:sz w:val="22"/>
        </w:rPr>
        <w:t xml:space="preserve">thresholds for CE level determination is reused to determine whether UE can use the </w:t>
      </w:r>
      <w:r w:rsidRPr="003502C6">
        <w:rPr>
          <w:rFonts w:ascii="Times New Roman" w:hAnsi="Times New Roman"/>
          <w:b/>
          <w:bCs/>
          <w:sz w:val="22"/>
        </w:rPr>
        <w:t>cell-specific CB-Msg3 PUSCH resources</w:t>
      </w:r>
      <w:r w:rsidRPr="003502C6">
        <w:rPr>
          <w:rFonts w:ascii="Times New Roman" w:hAnsi="Times New Roman" w:hint="eastAsia"/>
          <w:b/>
          <w:bCs/>
          <w:sz w:val="22"/>
        </w:rPr>
        <w:t xml:space="preserve"> associated to the corresponding CE level.</w:t>
      </w:r>
    </w:p>
    <w:p w14:paraId="61778ED5" w14:textId="77777777" w:rsidR="00BE695E" w:rsidRPr="003502C6" w:rsidRDefault="00BE695E" w:rsidP="00BE695E">
      <w:pPr>
        <w:spacing w:beforeLines="50" w:before="156" w:afterLines="50" w:after="156"/>
        <w:rPr>
          <w:rFonts w:ascii="Times New Roman" w:hAnsi="Times New Roman"/>
          <w:b/>
          <w:bCs/>
          <w:sz w:val="22"/>
        </w:rPr>
      </w:pPr>
      <w:r w:rsidRPr="003502C6">
        <w:rPr>
          <w:rFonts w:ascii="Times New Roman" w:hAnsi="Times New Roman" w:hint="eastAsia"/>
          <w:b/>
          <w:bCs/>
          <w:sz w:val="22"/>
        </w:rPr>
        <w:t>Proposal 2: T</w:t>
      </w:r>
      <w:r w:rsidRPr="003502C6">
        <w:rPr>
          <w:rFonts w:ascii="Times New Roman" w:hAnsi="Times New Roman"/>
          <w:b/>
          <w:bCs/>
          <w:sz w:val="22"/>
        </w:rPr>
        <w:t>he maximum TBS</w:t>
      </w:r>
      <w:r w:rsidRPr="003502C6">
        <w:rPr>
          <w:rFonts w:ascii="Times New Roman" w:hAnsi="Times New Roman" w:hint="eastAsia"/>
          <w:b/>
          <w:bCs/>
          <w:sz w:val="22"/>
        </w:rPr>
        <w:t xml:space="preserve"> size</w:t>
      </w:r>
      <w:r w:rsidRPr="003502C6">
        <w:rPr>
          <w:rFonts w:ascii="Times New Roman" w:hAnsi="Times New Roman"/>
          <w:b/>
          <w:bCs/>
          <w:sz w:val="22"/>
        </w:rPr>
        <w:t xml:space="preserve"> </w:t>
      </w:r>
      <w:r w:rsidRPr="003502C6">
        <w:rPr>
          <w:rFonts w:ascii="Times New Roman" w:hAnsi="Times New Roman" w:hint="eastAsia"/>
          <w:b/>
          <w:bCs/>
          <w:sz w:val="22"/>
        </w:rPr>
        <w:t xml:space="preserve">to initiate CB-Msg3 </w:t>
      </w:r>
      <w:r w:rsidRPr="003502C6">
        <w:rPr>
          <w:rFonts w:ascii="Times New Roman" w:hAnsi="Times New Roman"/>
          <w:b/>
          <w:bCs/>
          <w:sz w:val="22"/>
        </w:rPr>
        <w:t xml:space="preserve">is </w:t>
      </w:r>
      <w:r w:rsidRPr="003502C6">
        <w:rPr>
          <w:rFonts w:ascii="Times New Roman" w:hAnsi="Times New Roman" w:hint="eastAsia"/>
          <w:b/>
          <w:bCs/>
          <w:sz w:val="22"/>
        </w:rPr>
        <w:t xml:space="preserve">the </w:t>
      </w:r>
      <w:r w:rsidRPr="003502C6">
        <w:rPr>
          <w:rFonts w:ascii="Times New Roman" w:hAnsi="Times New Roman"/>
          <w:b/>
          <w:bCs/>
          <w:sz w:val="22"/>
        </w:rPr>
        <w:t xml:space="preserve">same for </w:t>
      </w:r>
      <w:r w:rsidRPr="003502C6">
        <w:rPr>
          <w:rFonts w:ascii="Times New Roman" w:hAnsi="Times New Roman" w:hint="eastAsia"/>
          <w:b/>
          <w:bCs/>
          <w:sz w:val="22"/>
        </w:rPr>
        <w:t>all</w:t>
      </w:r>
      <w:r w:rsidRPr="003502C6">
        <w:rPr>
          <w:rFonts w:ascii="Times New Roman" w:hAnsi="Times New Roman"/>
          <w:b/>
          <w:bCs/>
          <w:sz w:val="22"/>
        </w:rPr>
        <w:t xml:space="preserve"> CE levels</w:t>
      </w:r>
      <w:r w:rsidRPr="003502C6">
        <w:rPr>
          <w:rFonts w:ascii="Times New Roman" w:hAnsi="Times New Roman" w:hint="eastAsia"/>
          <w:b/>
          <w:bCs/>
          <w:sz w:val="22"/>
        </w:rPr>
        <w:t>.</w:t>
      </w:r>
    </w:p>
    <w:p w14:paraId="42AF7C09" w14:textId="77777777" w:rsidR="00BE695E" w:rsidRPr="008A2D90" w:rsidRDefault="00BE695E" w:rsidP="00BE695E">
      <w:pPr>
        <w:spacing w:beforeLines="50" w:before="156" w:afterLines="50" w:after="156"/>
        <w:rPr>
          <w:rFonts w:ascii="Times New Roman" w:hAnsi="Times New Roman"/>
          <w:b/>
          <w:bCs/>
          <w:sz w:val="22"/>
        </w:rPr>
      </w:pPr>
      <w:r w:rsidRPr="008A2D90">
        <w:rPr>
          <w:rFonts w:ascii="Times New Roman" w:hAnsi="Times New Roman" w:hint="eastAsia"/>
          <w:b/>
          <w:bCs/>
          <w:sz w:val="22"/>
        </w:rPr>
        <w:t>Proposal 3: O</w:t>
      </w:r>
      <w:r w:rsidRPr="008A2D90">
        <w:rPr>
          <w:rFonts w:ascii="Times New Roman" w:hAnsi="Times New Roman"/>
          <w:b/>
          <w:bCs/>
          <w:sz w:val="22"/>
        </w:rPr>
        <w:t>nly one PDCCH monitoring window is</w:t>
      </w:r>
      <w:r w:rsidRPr="008A2D90">
        <w:rPr>
          <w:rFonts w:ascii="Times New Roman" w:hAnsi="Times New Roman" w:hint="eastAsia"/>
          <w:b/>
          <w:bCs/>
          <w:sz w:val="22"/>
        </w:rPr>
        <w:t xml:space="preserve"> started for all </w:t>
      </w:r>
      <w:r w:rsidRPr="008A2D90">
        <w:rPr>
          <w:rFonts w:ascii="Times New Roman" w:hAnsi="Times New Roman"/>
          <w:b/>
          <w:bCs/>
          <w:sz w:val="22"/>
        </w:rPr>
        <w:t>C</w:t>
      </w:r>
      <w:r w:rsidRPr="008A2D90">
        <w:rPr>
          <w:rFonts w:ascii="Times New Roman" w:hAnsi="Times New Roman" w:hint="eastAsia"/>
          <w:b/>
          <w:bCs/>
          <w:sz w:val="22"/>
        </w:rPr>
        <w:t>B</w:t>
      </w:r>
      <w:r w:rsidRPr="008A2D90">
        <w:rPr>
          <w:rFonts w:ascii="Times New Roman" w:hAnsi="Times New Roman"/>
          <w:b/>
          <w:bCs/>
          <w:sz w:val="22"/>
        </w:rPr>
        <w:t>-Msg3</w:t>
      </w:r>
      <w:r w:rsidRPr="008A2D90">
        <w:rPr>
          <w:rFonts w:ascii="Times New Roman" w:hAnsi="Times New Roman" w:hint="eastAsia"/>
          <w:b/>
          <w:bCs/>
          <w:sz w:val="22"/>
        </w:rPr>
        <w:t xml:space="preserve"> replicas in</w:t>
      </w:r>
      <w:r w:rsidRPr="008A2D90">
        <w:rPr>
          <w:rFonts w:ascii="Times New Roman" w:hAnsi="Times New Roman"/>
          <w:b/>
          <w:bCs/>
          <w:sz w:val="22"/>
        </w:rPr>
        <w:t xml:space="preserve"> DSA case.</w:t>
      </w:r>
    </w:p>
    <w:p w14:paraId="61364C5F" w14:textId="77777777" w:rsidR="00BE695E" w:rsidRPr="003464B7" w:rsidRDefault="00BE695E" w:rsidP="00BE695E">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Pr>
          <w:rFonts w:ascii="Times New Roman" w:hAnsi="Times New Roman" w:hint="eastAsia"/>
          <w:b/>
          <w:bCs/>
          <w:sz w:val="22"/>
        </w:rPr>
        <w:t>4</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7B1CAFF3" w14:textId="77777777" w:rsidR="00BE695E" w:rsidRPr="003464B7" w:rsidRDefault="00BE695E" w:rsidP="00BE695E">
      <w:pPr>
        <w:pStyle w:val="a6"/>
        <w:numPr>
          <w:ilvl w:val="0"/>
          <w:numId w:val="43"/>
        </w:numPr>
        <w:spacing w:beforeLines="50" w:before="156" w:afterLines="50" w:after="156"/>
        <w:ind w:left="442" w:firstLineChars="0" w:hanging="442"/>
        <w:rPr>
          <w:b/>
          <w:bCs/>
          <w:sz w:val="22"/>
        </w:rPr>
      </w:pPr>
      <w:r>
        <w:rPr>
          <w:b/>
          <w:bCs/>
          <w:sz w:val="22"/>
        </w:rPr>
        <w:t>Msg4 delivery in non-unicast ways (e.g., multicast)</w:t>
      </w:r>
      <w:r w:rsidRPr="003464B7">
        <w:rPr>
          <w:b/>
          <w:bCs/>
          <w:sz w:val="22"/>
        </w:rPr>
        <w:t>;</w:t>
      </w:r>
    </w:p>
    <w:p w14:paraId="18478002" w14:textId="6A75C13E" w:rsidR="005C389C" w:rsidRPr="00BE695E" w:rsidRDefault="00BE695E" w:rsidP="00BE695E">
      <w:pPr>
        <w:pStyle w:val="a6"/>
        <w:numPr>
          <w:ilvl w:val="0"/>
          <w:numId w:val="43"/>
        </w:numPr>
        <w:spacing w:beforeLines="50" w:before="156" w:afterLines="50" w:after="156"/>
        <w:ind w:left="442" w:firstLineChars="0" w:hanging="442"/>
        <w:rPr>
          <w:b/>
          <w:bCs/>
          <w:sz w:val="22"/>
        </w:rPr>
      </w:pPr>
      <w:r>
        <w:rPr>
          <w:b/>
          <w:bCs/>
          <w:sz w:val="22"/>
        </w:rPr>
        <w:t>Msg4 delivery using lower layer indication (e.g., Layer 1 indication or MAC CE as in PUR).</w:t>
      </w:r>
    </w:p>
    <w:sectPr w:rsidR="005C389C" w:rsidRPr="00BE695E"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0D127" w14:textId="77777777" w:rsidR="000C3764" w:rsidRDefault="000C3764">
      <w:r>
        <w:separator/>
      </w:r>
    </w:p>
  </w:endnote>
  <w:endnote w:type="continuationSeparator" w:id="0">
    <w:p w14:paraId="2E151936" w14:textId="77777777" w:rsidR="000C3764" w:rsidRDefault="000C3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D78DE" w14:textId="77777777" w:rsidR="000C3764" w:rsidRDefault="000C3764">
      <w:r>
        <w:separator/>
      </w:r>
    </w:p>
  </w:footnote>
  <w:footnote w:type="continuationSeparator" w:id="0">
    <w:p w14:paraId="3ECE2B8B" w14:textId="77777777" w:rsidR="000C3764" w:rsidRDefault="000C3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72D"/>
    <w:multiLevelType w:val="hybridMultilevel"/>
    <w:tmpl w:val="0D7CAC44"/>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DE209F"/>
    <w:multiLevelType w:val="hybridMultilevel"/>
    <w:tmpl w:val="6ED2D9E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2709C2"/>
    <w:multiLevelType w:val="hybridMultilevel"/>
    <w:tmpl w:val="1C0660F0"/>
    <w:lvl w:ilvl="0" w:tplc="C316C2B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CE40DC3"/>
    <w:multiLevelType w:val="hybridMultilevel"/>
    <w:tmpl w:val="3B3865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513575"/>
    <w:multiLevelType w:val="hybridMultilevel"/>
    <w:tmpl w:val="EAE275D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DB02B5"/>
    <w:multiLevelType w:val="hybridMultilevel"/>
    <w:tmpl w:val="0A5CE9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89433FD"/>
    <w:multiLevelType w:val="hybridMultilevel"/>
    <w:tmpl w:val="814A50C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A587FE5"/>
    <w:multiLevelType w:val="hybridMultilevel"/>
    <w:tmpl w:val="903815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D3C788A"/>
    <w:multiLevelType w:val="hybridMultilevel"/>
    <w:tmpl w:val="1BA02F78"/>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7"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F5D597E"/>
    <w:multiLevelType w:val="hybridMultilevel"/>
    <w:tmpl w:val="1F7409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5"/>
  </w:num>
  <w:num w:numId="2" w16cid:durableId="1984658315">
    <w:abstractNumId w:val="5"/>
  </w:num>
  <w:num w:numId="3" w16cid:durableId="722876610">
    <w:abstractNumId w:val="43"/>
  </w:num>
  <w:num w:numId="4" w16cid:durableId="859195836">
    <w:abstractNumId w:val="42"/>
  </w:num>
  <w:num w:numId="5" w16cid:durableId="220140937">
    <w:abstractNumId w:val="16"/>
  </w:num>
  <w:num w:numId="6" w16cid:durableId="1734040883">
    <w:abstractNumId w:val="34"/>
  </w:num>
  <w:num w:numId="7" w16cid:durableId="2045521902">
    <w:abstractNumId w:val="10"/>
  </w:num>
  <w:num w:numId="8" w16cid:durableId="163935166">
    <w:abstractNumId w:val="23"/>
  </w:num>
  <w:num w:numId="9" w16cid:durableId="1679574324">
    <w:abstractNumId w:val="9"/>
  </w:num>
  <w:num w:numId="10" w16cid:durableId="75370074">
    <w:abstractNumId w:val="24"/>
  </w:num>
  <w:num w:numId="11" w16cid:durableId="1796754296">
    <w:abstractNumId w:val="6"/>
  </w:num>
  <w:num w:numId="12" w16cid:durableId="384646512">
    <w:abstractNumId w:val="22"/>
  </w:num>
  <w:num w:numId="13" w16cid:durableId="1573813467">
    <w:abstractNumId w:val="27"/>
  </w:num>
  <w:num w:numId="14" w16cid:durableId="1493519478">
    <w:abstractNumId w:val="11"/>
  </w:num>
  <w:num w:numId="15" w16cid:durableId="127743599">
    <w:abstractNumId w:val="45"/>
  </w:num>
  <w:num w:numId="16" w16cid:durableId="1895191140">
    <w:abstractNumId w:val="46"/>
  </w:num>
  <w:num w:numId="17" w16cid:durableId="828903070">
    <w:abstractNumId w:val="4"/>
  </w:num>
  <w:num w:numId="18" w16cid:durableId="1821799038">
    <w:abstractNumId w:val="14"/>
  </w:num>
  <w:num w:numId="19" w16cid:durableId="985160454">
    <w:abstractNumId w:val="26"/>
  </w:num>
  <w:num w:numId="20" w16cid:durableId="1390036946">
    <w:abstractNumId w:val="3"/>
  </w:num>
  <w:num w:numId="21" w16cid:durableId="381757924">
    <w:abstractNumId w:val="31"/>
  </w:num>
  <w:num w:numId="22" w16cid:durableId="1834640208">
    <w:abstractNumId w:val="8"/>
  </w:num>
  <w:num w:numId="23" w16cid:durableId="303239897">
    <w:abstractNumId w:val="21"/>
  </w:num>
  <w:num w:numId="24" w16cid:durableId="1178815800">
    <w:abstractNumId w:val="15"/>
  </w:num>
  <w:num w:numId="25" w16cid:durableId="1387993154">
    <w:abstractNumId w:val="30"/>
  </w:num>
  <w:num w:numId="26" w16cid:durableId="940138824">
    <w:abstractNumId w:val="33"/>
  </w:num>
  <w:num w:numId="27" w16cid:durableId="871189877">
    <w:abstractNumId w:val="29"/>
  </w:num>
  <w:num w:numId="28" w16cid:durableId="418596070">
    <w:abstractNumId w:val="47"/>
  </w:num>
  <w:num w:numId="29" w16cid:durableId="1149438441">
    <w:abstractNumId w:val="25"/>
  </w:num>
  <w:num w:numId="30" w16cid:durableId="1023165204">
    <w:abstractNumId w:val="44"/>
  </w:num>
  <w:num w:numId="31" w16cid:durableId="730009029">
    <w:abstractNumId w:val="20"/>
  </w:num>
  <w:num w:numId="32" w16cid:durableId="2073652555">
    <w:abstractNumId w:val="18"/>
  </w:num>
  <w:num w:numId="33" w16cid:durableId="483818738">
    <w:abstractNumId w:val="19"/>
  </w:num>
  <w:num w:numId="34" w16cid:durableId="131290464">
    <w:abstractNumId w:val="12"/>
  </w:num>
  <w:num w:numId="35" w16cid:durableId="95028661">
    <w:abstractNumId w:val="37"/>
  </w:num>
  <w:num w:numId="36" w16cid:durableId="1685277302">
    <w:abstractNumId w:val="36"/>
  </w:num>
  <w:num w:numId="37" w16cid:durableId="1056201746">
    <w:abstractNumId w:val="38"/>
  </w:num>
  <w:num w:numId="38" w16cid:durableId="320888914">
    <w:abstractNumId w:val="1"/>
  </w:num>
  <w:num w:numId="39" w16cid:durableId="1659652012">
    <w:abstractNumId w:val="2"/>
  </w:num>
  <w:num w:numId="40" w16cid:durableId="484321327">
    <w:abstractNumId w:val="28"/>
  </w:num>
  <w:num w:numId="41" w16cid:durableId="188684709">
    <w:abstractNumId w:val="41"/>
  </w:num>
  <w:num w:numId="42" w16cid:durableId="871650031">
    <w:abstractNumId w:val="13"/>
  </w:num>
  <w:num w:numId="43" w16cid:durableId="1778141025">
    <w:abstractNumId w:val="17"/>
  </w:num>
  <w:num w:numId="44" w16cid:durableId="959801894">
    <w:abstractNumId w:val="48"/>
  </w:num>
  <w:num w:numId="45" w16cid:durableId="1804470047">
    <w:abstractNumId w:val="39"/>
  </w:num>
  <w:num w:numId="46" w16cid:durableId="1995912125">
    <w:abstractNumId w:val="7"/>
  </w:num>
  <w:num w:numId="47" w16cid:durableId="1044906976">
    <w:abstractNumId w:val="40"/>
  </w:num>
  <w:num w:numId="48" w16cid:durableId="1773889359">
    <w:abstractNumId w:val="0"/>
  </w:num>
  <w:num w:numId="49" w16cid:durableId="5250482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5CA"/>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3764"/>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6BB"/>
    <w:rsid w:val="001347B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3B4F"/>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6C7"/>
    <w:rsid w:val="001A17CF"/>
    <w:rsid w:val="001A1B51"/>
    <w:rsid w:val="001A1CC1"/>
    <w:rsid w:val="001A22ED"/>
    <w:rsid w:val="001A2524"/>
    <w:rsid w:val="001A2916"/>
    <w:rsid w:val="001A2E55"/>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59F"/>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3F29"/>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1C9E"/>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4A39"/>
    <w:rsid w:val="002A51AB"/>
    <w:rsid w:val="002A5312"/>
    <w:rsid w:val="002A5806"/>
    <w:rsid w:val="002A5958"/>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C9D"/>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1607"/>
    <w:rsid w:val="00312133"/>
    <w:rsid w:val="00312CBC"/>
    <w:rsid w:val="00313811"/>
    <w:rsid w:val="00313898"/>
    <w:rsid w:val="00313EB8"/>
    <w:rsid w:val="00313F8E"/>
    <w:rsid w:val="00314175"/>
    <w:rsid w:val="00314600"/>
    <w:rsid w:val="00314920"/>
    <w:rsid w:val="00314D6F"/>
    <w:rsid w:val="00314EF9"/>
    <w:rsid w:val="0031515C"/>
    <w:rsid w:val="00315932"/>
    <w:rsid w:val="003163E2"/>
    <w:rsid w:val="0031675A"/>
    <w:rsid w:val="00316BF8"/>
    <w:rsid w:val="0031752E"/>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0D8D"/>
    <w:rsid w:val="003410AB"/>
    <w:rsid w:val="0034190E"/>
    <w:rsid w:val="00342B35"/>
    <w:rsid w:val="003432E9"/>
    <w:rsid w:val="0034397F"/>
    <w:rsid w:val="00343ECB"/>
    <w:rsid w:val="00343FEC"/>
    <w:rsid w:val="00345D24"/>
    <w:rsid w:val="003464B7"/>
    <w:rsid w:val="00346892"/>
    <w:rsid w:val="00346B75"/>
    <w:rsid w:val="00346C2E"/>
    <w:rsid w:val="00346C39"/>
    <w:rsid w:val="00346CE3"/>
    <w:rsid w:val="00346DDF"/>
    <w:rsid w:val="00347687"/>
    <w:rsid w:val="003502C6"/>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5F2"/>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839"/>
    <w:rsid w:val="0039198E"/>
    <w:rsid w:val="00391A33"/>
    <w:rsid w:val="00392382"/>
    <w:rsid w:val="003924F6"/>
    <w:rsid w:val="00392BF5"/>
    <w:rsid w:val="0039317E"/>
    <w:rsid w:val="003931D6"/>
    <w:rsid w:val="003938EB"/>
    <w:rsid w:val="003939F8"/>
    <w:rsid w:val="00393E13"/>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47"/>
    <w:rsid w:val="003B207C"/>
    <w:rsid w:val="003B2092"/>
    <w:rsid w:val="003B209D"/>
    <w:rsid w:val="003B2AF1"/>
    <w:rsid w:val="003B2CB6"/>
    <w:rsid w:val="003B2EDF"/>
    <w:rsid w:val="003B333C"/>
    <w:rsid w:val="003B333E"/>
    <w:rsid w:val="003B367B"/>
    <w:rsid w:val="003B459D"/>
    <w:rsid w:val="003B49D7"/>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4F7"/>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5C99"/>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186"/>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00B"/>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AA7"/>
    <w:rsid w:val="004B1EEA"/>
    <w:rsid w:val="004B283C"/>
    <w:rsid w:val="004B2EC0"/>
    <w:rsid w:val="004B4837"/>
    <w:rsid w:val="004B5679"/>
    <w:rsid w:val="004B6419"/>
    <w:rsid w:val="004B65BA"/>
    <w:rsid w:val="004B6B57"/>
    <w:rsid w:val="004B6C2D"/>
    <w:rsid w:val="004B6D77"/>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09D0"/>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E0C"/>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5E58"/>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2A3"/>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31E"/>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34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C27"/>
    <w:rsid w:val="00763F2F"/>
    <w:rsid w:val="00763F9D"/>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29E"/>
    <w:rsid w:val="00785699"/>
    <w:rsid w:val="007861D8"/>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8B5"/>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0505"/>
    <w:rsid w:val="00811032"/>
    <w:rsid w:val="008118F8"/>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C96"/>
    <w:rsid w:val="0087112F"/>
    <w:rsid w:val="00871E69"/>
    <w:rsid w:val="008720A2"/>
    <w:rsid w:val="008729FE"/>
    <w:rsid w:val="00873EEF"/>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6F5"/>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2D90"/>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8E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3B9"/>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4A13"/>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2767"/>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35C"/>
    <w:rsid w:val="00971425"/>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41AB"/>
    <w:rsid w:val="0099538F"/>
    <w:rsid w:val="00995934"/>
    <w:rsid w:val="00995B4A"/>
    <w:rsid w:val="00995DBD"/>
    <w:rsid w:val="009960C3"/>
    <w:rsid w:val="0099618D"/>
    <w:rsid w:val="009963A5"/>
    <w:rsid w:val="00996883"/>
    <w:rsid w:val="0099698A"/>
    <w:rsid w:val="009976B9"/>
    <w:rsid w:val="009977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7E3"/>
    <w:rsid w:val="00A33D7A"/>
    <w:rsid w:val="00A33FF8"/>
    <w:rsid w:val="00A34AB2"/>
    <w:rsid w:val="00A34F06"/>
    <w:rsid w:val="00A35957"/>
    <w:rsid w:val="00A35C80"/>
    <w:rsid w:val="00A36C9A"/>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4464"/>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6BEF"/>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487"/>
    <w:rsid w:val="00AC3CD3"/>
    <w:rsid w:val="00AC3E11"/>
    <w:rsid w:val="00AC3EDD"/>
    <w:rsid w:val="00AC477E"/>
    <w:rsid w:val="00AC4A9B"/>
    <w:rsid w:val="00AC4C80"/>
    <w:rsid w:val="00AC5169"/>
    <w:rsid w:val="00AC51D1"/>
    <w:rsid w:val="00AC54E4"/>
    <w:rsid w:val="00AC5EBC"/>
    <w:rsid w:val="00AC666A"/>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B7C"/>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67D"/>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530"/>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B9A"/>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245"/>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1C80"/>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035"/>
    <w:rsid w:val="00BD76EA"/>
    <w:rsid w:val="00BD7A0E"/>
    <w:rsid w:val="00BD7BDA"/>
    <w:rsid w:val="00BE0EE9"/>
    <w:rsid w:val="00BE1798"/>
    <w:rsid w:val="00BE22D0"/>
    <w:rsid w:val="00BE2622"/>
    <w:rsid w:val="00BE367C"/>
    <w:rsid w:val="00BE3BBA"/>
    <w:rsid w:val="00BE5105"/>
    <w:rsid w:val="00BE5512"/>
    <w:rsid w:val="00BE62B3"/>
    <w:rsid w:val="00BE695E"/>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092"/>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8FF"/>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309"/>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02E"/>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6E10"/>
    <w:rsid w:val="00D07F0D"/>
    <w:rsid w:val="00D07F4C"/>
    <w:rsid w:val="00D10DF1"/>
    <w:rsid w:val="00D120E5"/>
    <w:rsid w:val="00D12532"/>
    <w:rsid w:val="00D12A02"/>
    <w:rsid w:val="00D12A14"/>
    <w:rsid w:val="00D12DD4"/>
    <w:rsid w:val="00D13097"/>
    <w:rsid w:val="00D133CA"/>
    <w:rsid w:val="00D1378C"/>
    <w:rsid w:val="00D138EB"/>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1DF"/>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4A2D"/>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068"/>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518"/>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04"/>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8D5"/>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0B2B"/>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1C93"/>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C7A95"/>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0DC3"/>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9705</TotalTime>
  <Pages>3</Pages>
  <Words>1277</Words>
  <Characters>7281</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268</cp:revision>
  <cp:lastPrinted>2012-10-30T00:20:00Z</cp:lastPrinted>
  <dcterms:created xsi:type="dcterms:W3CDTF">2020-08-03T07:44:00Z</dcterms:created>
  <dcterms:modified xsi:type="dcterms:W3CDTF">2025-02-06T09:37:00Z</dcterms:modified>
</cp:coreProperties>
</file>